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7D241" w14:textId="5869FAAB" w:rsidR="2108E0DE" w:rsidRPr="0046310C" w:rsidRDefault="2108E0DE" w:rsidP="2108E0DE">
      <w:pPr>
        <w:jc w:val="both"/>
        <w:rPr>
          <w:rFonts w:ascii="Arial Narrow" w:hAnsi="Arial Narrow" w:cstheme="minorHAnsi"/>
          <w:color w:val="000000" w:themeColor="text1"/>
        </w:rPr>
      </w:pPr>
    </w:p>
    <w:p w14:paraId="22517CB9" w14:textId="77777777" w:rsidR="00CC13E2" w:rsidRPr="0046310C" w:rsidRDefault="00CC13E2" w:rsidP="00CC13E2">
      <w:pPr>
        <w:spacing w:before="120"/>
        <w:jc w:val="center"/>
        <w:rPr>
          <w:rFonts w:ascii="Arial Narrow" w:hAnsi="Arial Narrow" w:cstheme="minorHAnsi"/>
          <w:b/>
          <w:bCs/>
          <w:sz w:val="22"/>
          <w:szCs w:val="22"/>
        </w:rPr>
      </w:pPr>
      <w:r>
        <w:rPr>
          <w:rFonts w:ascii="Arial Narrow" w:hAnsi="Arial Narrow"/>
          <w:b/>
          <w:sz w:val="22"/>
        </w:rPr>
        <w:t>CRITERIA FOR EVALUATING TENDERS,</w:t>
      </w:r>
    </w:p>
    <w:p w14:paraId="5107A901" w14:textId="2B2A8619" w:rsidR="004952E7" w:rsidRPr="0046310C" w:rsidRDefault="00CC13E2" w:rsidP="00CC13E2">
      <w:pPr>
        <w:jc w:val="center"/>
        <w:rPr>
          <w:rFonts w:ascii="Arial Narrow" w:hAnsi="Arial Narrow" w:cstheme="minorHAnsi"/>
          <w:color w:val="000000" w:themeColor="text1"/>
        </w:rPr>
      </w:pPr>
      <w:r>
        <w:rPr>
          <w:rFonts w:ascii="Arial Narrow" w:hAnsi="Arial Narrow"/>
          <w:b/>
          <w:sz w:val="22"/>
        </w:rPr>
        <w:t>RULES FOR APPLYING THE CRITERIA FOR EVALUATING TENDERS</w:t>
      </w:r>
    </w:p>
    <w:p w14:paraId="417E7810" w14:textId="77777777" w:rsidR="00CC13E2" w:rsidRPr="0046310C" w:rsidRDefault="00CC13E2" w:rsidP="004952E7">
      <w:pPr>
        <w:jc w:val="both"/>
        <w:rPr>
          <w:rFonts w:ascii="Arial Narrow" w:hAnsi="Arial Narrow" w:cstheme="minorHAnsi"/>
          <w:sz w:val="22"/>
          <w:szCs w:val="22"/>
        </w:rPr>
      </w:pPr>
    </w:p>
    <w:p w14:paraId="0003A58D" w14:textId="3D0D478B" w:rsidR="004952E7" w:rsidRPr="0046310C" w:rsidRDefault="004952E7" w:rsidP="004952E7">
      <w:pPr>
        <w:jc w:val="both"/>
        <w:rPr>
          <w:rFonts w:ascii="Arial Narrow" w:hAnsi="Arial Narrow" w:cstheme="minorHAnsi"/>
          <w:sz w:val="22"/>
          <w:szCs w:val="22"/>
        </w:rPr>
      </w:pPr>
      <w:r>
        <w:rPr>
          <w:rFonts w:ascii="Arial Narrow" w:hAnsi="Arial Narrow"/>
          <w:sz w:val="22"/>
        </w:rPr>
        <w:t>Tenders are evaluated based on the best price-quality ratio (i.e. according to tender evaluation criteria 1 to 6), with the Josephine system awarding points during the evaluation process based on the rules for their application specified for each criterion.</w:t>
      </w:r>
    </w:p>
    <w:p w14:paraId="26F2B058" w14:textId="77777777" w:rsidR="004952E7" w:rsidRPr="0046310C" w:rsidRDefault="004952E7" w:rsidP="004952E7">
      <w:pPr>
        <w:jc w:val="both"/>
        <w:rPr>
          <w:rFonts w:ascii="Arial Narrow" w:hAnsi="Arial Narrow" w:cstheme="minorHAnsi"/>
          <w:sz w:val="22"/>
          <w:szCs w:val="22"/>
        </w:rPr>
      </w:pPr>
    </w:p>
    <w:p w14:paraId="4763FA8F" w14:textId="77777777" w:rsidR="004952E7" w:rsidRPr="0046310C" w:rsidRDefault="004952E7" w:rsidP="004952E7">
      <w:pPr>
        <w:jc w:val="both"/>
        <w:rPr>
          <w:rFonts w:ascii="Arial Narrow" w:hAnsi="Arial Narrow" w:cstheme="minorHAnsi"/>
          <w:b/>
          <w:bCs/>
          <w:smallCaps/>
          <w:sz w:val="22"/>
          <w:szCs w:val="22"/>
        </w:rPr>
      </w:pPr>
      <w:r>
        <w:rPr>
          <w:rFonts w:ascii="Arial Narrow" w:hAnsi="Arial Narrow"/>
          <w:sz w:val="22"/>
        </w:rPr>
        <w:t>The tender evaluation committee will use the Josephine system to automatically evaluate, in accordance with the law, the tenders of tenderers that have not been excluded, according to the criteria for evaluating tenders specified in the public procurement notice and based on the rules for their application specified in this section of the tender documentation.</w:t>
      </w:r>
    </w:p>
    <w:p w14:paraId="3A4B90ED" w14:textId="77777777" w:rsidR="004952E7" w:rsidRPr="0046310C" w:rsidRDefault="004952E7" w:rsidP="2108E0DE">
      <w:pPr>
        <w:ind w:left="2124" w:firstLine="708"/>
        <w:jc w:val="both"/>
        <w:rPr>
          <w:rFonts w:ascii="Arial Narrow" w:hAnsi="Arial Narrow" w:cstheme="minorHAnsi"/>
          <w:color w:val="000000" w:themeColor="text1"/>
        </w:rPr>
      </w:pPr>
    </w:p>
    <w:p w14:paraId="52E94DE0" w14:textId="07670C14" w:rsidR="2108E0DE" w:rsidRPr="0046310C" w:rsidRDefault="2108E0DE" w:rsidP="2108E0DE">
      <w:pPr>
        <w:jc w:val="both"/>
        <w:rPr>
          <w:rFonts w:ascii="Arial Narrow" w:hAnsi="Arial Narrow" w:cstheme="minorHAnsi"/>
          <w:color w:val="000000" w:themeColor="text1"/>
        </w:rPr>
      </w:pPr>
    </w:p>
    <w:p w14:paraId="52783528" w14:textId="77777777" w:rsidR="00743BD4" w:rsidRPr="0046310C" w:rsidRDefault="00743BD4" w:rsidP="00743BD4">
      <w:pPr>
        <w:jc w:val="both"/>
        <w:rPr>
          <w:rFonts w:ascii="Arial Narrow" w:hAnsi="Arial Narrow" w:cstheme="minorHAnsi"/>
          <w:color w:val="000000" w:themeColor="text1"/>
        </w:rPr>
      </w:pPr>
      <w:r>
        <w:rPr>
          <w:rFonts w:ascii="Arial Narrow" w:hAnsi="Arial Narrow"/>
          <w:color w:val="000000" w:themeColor="text1"/>
        </w:rPr>
        <w:t>Tenders will be evaluated based on the most economically advantageous tender, taking into account the best price-quality ratio, with points awarded as follows:</w:t>
      </w:r>
    </w:p>
    <w:p w14:paraId="689C2369" w14:textId="77777777" w:rsidR="00743BD4" w:rsidRPr="0046310C" w:rsidRDefault="00743BD4" w:rsidP="1EC0E998">
      <w:pPr>
        <w:jc w:val="both"/>
        <w:rPr>
          <w:rFonts w:ascii="Arial Narrow" w:hAnsi="Arial Narrow" w:cstheme="minorHAnsi"/>
          <w:color w:val="000000" w:themeColor="text1"/>
        </w:rPr>
      </w:pPr>
    </w:p>
    <w:tbl>
      <w:tblPr>
        <w:tblStyle w:val="Mriekatabuky"/>
        <w:tblW w:w="9072" w:type="dxa"/>
        <w:tblLook w:val="04A0" w:firstRow="1" w:lastRow="0" w:firstColumn="1" w:lastColumn="0" w:noHBand="0" w:noVBand="1"/>
      </w:tblPr>
      <w:tblGrid>
        <w:gridCol w:w="6059"/>
        <w:gridCol w:w="954"/>
        <w:gridCol w:w="2059"/>
      </w:tblGrid>
      <w:tr w:rsidR="001704F4" w:rsidRPr="0046310C" w14:paraId="118AF9B4" w14:textId="77777777" w:rsidTr="2C62DAE5">
        <w:trPr>
          <w:trHeight w:val="320"/>
        </w:trPr>
        <w:tc>
          <w:tcPr>
            <w:tcW w:w="6075" w:type="dxa"/>
            <w:noWrap/>
            <w:hideMark/>
          </w:tcPr>
          <w:p w14:paraId="490751DB" w14:textId="77777777" w:rsidR="00743BD4" w:rsidRPr="0046310C" w:rsidRDefault="00743BD4" w:rsidP="00A270C9">
            <w:pPr>
              <w:jc w:val="both"/>
              <w:rPr>
                <w:rFonts w:ascii="Arial Narrow" w:hAnsi="Arial Narrow" w:cstheme="minorHAnsi"/>
                <w:b/>
                <w:bCs/>
                <w:color w:val="000000" w:themeColor="text1"/>
                <w:sz w:val="24"/>
                <w:szCs w:val="24"/>
              </w:rPr>
            </w:pPr>
            <w:r>
              <w:rPr>
                <w:rFonts w:ascii="Arial Narrow" w:hAnsi="Arial Narrow"/>
                <w:b/>
                <w:color w:val="000000" w:themeColor="text1"/>
                <w:sz w:val="24"/>
              </w:rPr>
              <w:t>Criterion</w:t>
            </w:r>
          </w:p>
        </w:tc>
        <w:tc>
          <w:tcPr>
            <w:tcW w:w="943" w:type="dxa"/>
            <w:noWrap/>
            <w:hideMark/>
          </w:tcPr>
          <w:p w14:paraId="38DC08D0" w14:textId="77777777" w:rsidR="00743BD4" w:rsidRPr="0046310C" w:rsidRDefault="00743BD4" w:rsidP="00A270C9">
            <w:pPr>
              <w:jc w:val="both"/>
              <w:rPr>
                <w:rFonts w:ascii="Arial Narrow" w:hAnsi="Arial Narrow" w:cstheme="minorHAnsi"/>
                <w:b/>
                <w:bCs/>
                <w:color w:val="000000" w:themeColor="text1"/>
                <w:sz w:val="24"/>
                <w:szCs w:val="24"/>
              </w:rPr>
            </w:pPr>
            <w:r>
              <w:rPr>
                <w:rFonts w:ascii="Arial Narrow" w:hAnsi="Arial Narrow"/>
                <w:b/>
                <w:color w:val="000000" w:themeColor="text1"/>
                <w:sz w:val="24"/>
              </w:rPr>
              <w:t>Max. number of points</w:t>
            </w:r>
          </w:p>
        </w:tc>
        <w:tc>
          <w:tcPr>
            <w:tcW w:w="2054" w:type="dxa"/>
            <w:noWrap/>
            <w:hideMark/>
          </w:tcPr>
          <w:p w14:paraId="6C4AEDA0" w14:textId="77777777" w:rsidR="00743BD4" w:rsidRPr="0046310C" w:rsidRDefault="00743BD4" w:rsidP="00A270C9">
            <w:pPr>
              <w:jc w:val="both"/>
              <w:rPr>
                <w:rFonts w:ascii="Arial Narrow" w:hAnsi="Arial Narrow" w:cstheme="minorHAnsi"/>
                <w:b/>
                <w:bCs/>
                <w:color w:val="000000" w:themeColor="text1"/>
                <w:sz w:val="24"/>
                <w:szCs w:val="24"/>
              </w:rPr>
            </w:pPr>
            <w:r>
              <w:rPr>
                <w:rFonts w:ascii="Arial Narrow" w:hAnsi="Arial Narrow"/>
                <w:b/>
                <w:color w:val="000000" w:themeColor="text1"/>
                <w:sz w:val="24"/>
              </w:rPr>
              <w:t>Weight (%)</w:t>
            </w:r>
          </w:p>
        </w:tc>
      </w:tr>
      <w:tr w:rsidR="001704F4" w:rsidRPr="0046310C" w14:paraId="04927A49" w14:textId="77777777" w:rsidTr="2C62DAE5">
        <w:trPr>
          <w:trHeight w:val="320"/>
        </w:trPr>
        <w:tc>
          <w:tcPr>
            <w:tcW w:w="6075" w:type="dxa"/>
            <w:noWrap/>
            <w:hideMark/>
          </w:tcPr>
          <w:p w14:paraId="1B9A3B7F" w14:textId="2FF7B348" w:rsidR="00743BD4" w:rsidRPr="0046310C" w:rsidRDefault="00743BD4" w:rsidP="1EC0E998">
            <w:pPr>
              <w:pStyle w:val="Odsekzoznamu"/>
              <w:numPr>
                <w:ilvl w:val="0"/>
                <w:numId w:val="6"/>
              </w:numPr>
              <w:jc w:val="both"/>
              <w:rPr>
                <w:rFonts w:ascii="Arial Narrow" w:hAnsi="Arial Narrow" w:cstheme="minorHAnsi"/>
                <w:color w:val="000000" w:themeColor="text1"/>
                <w:sz w:val="24"/>
                <w:szCs w:val="24"/>
              </w:rPr>
            </w:pPr>
            <w:r>
              <w:rPr>
                <w:rFonts w:ascii="Arial Narrow" w:hAnsi="Arial Narrow"/>
                <w:color w:val="000000" w:themeColor="text1"/>
                <w:sz w:val="24"/>
              </w:rPr>
              <w:t>The offered price per helicopter as defined in the description of the subject-matter of the contract (excluding optional equipment) Technical Specification of the description of the subject-matter of the contract, specifically point 1.  – Cell G15 of the Structured Budget (Sheets I and II)</w:t>
            </w:r>
          </w:p>
        </w:tc>
        <w:tc>
          <w:tcPr>
            <w:tcW w:w="943" w:type="dxa"/>
            <w:noWrap/>
            <w:hideMark/>
          </w:tcPr>
          <w:p w14:paraId="06E92718" w14:textId="035D0A62" w:rsidR="00743BD4" w:rsidRPr="0046310C" w:rsidRDefault="2FAF9A59" w:rsidP="770AFF28">
            <w:pPr>
              <w:jc w:val="both"/>
              <w:rPr>
                <w:rFonts w:ascii="Arial Narrow" w:hAnsi="Arial Narrow" w:cstheme="minorHAnsi"/>
                <w:color w:val="000000" w:themeColor="text1"/>
                <w:sz w:val="24"/>
                <w:szCs w:val="24"/>
              </w:rPr>
            </w:pPr>
            <w:r>
              <w:rPr>
                <w:rFonts w:ascii="Arial Narrow" w:hAnsi="Arial Narrow"/>
                <w:color w:val="000000" w:themeColor="text1"/>
                <w:sz w:val="24"/>
              </w:rPr>
              <w:t>69 points</w:t>
            </w:r>
          </w:p>
        </w:tc>
        <w:tc>
          <w:tcPr>
            <w:tcW w:w="2054" w:type="dxa"/>
            <w:noWrap/>
            <w:hideMark/>
          </w:tcPr>
          <w:p w14:paraId="398D80C9" w14:textId="4E51CB61" w:rsidR="00743BD4" w:rsidRPr="0046310C" w:rsidRDefault="6F6466ED" w:rsidP="00A270C9">
            <w:pPr>
              <w:jc w:val="both"/>
              <w:rPr>
                <w:rFonts w:ascii="Arial Narrow" w:hAnsi="Arial Narrow" w:cstheme="minorHAnsi"/>
                <w:color w:val="000000" w:themeColor="text1"/>
                <w:sz w:val="24"/>
                <w:szCs w:val="24"/>
              </w:rPr>
            </w:pPr>
            <w:r>
              <w:rPr>
                <w:rFonts w:ascii="Arial Narrow" w:hAnsi="Arial Narrow"/>
                <w:color w:val="000000" w:themeColor="text1"/>
                <w:sz w:val="24"/>
              </w:rPr>
              <w:t>69%</w:t>
            </w:r>
          </w:p>
        </w:tc>
      </w:tr>
      <w:tr w:rsidR="001704F4" w:rsidRPr="0046310C" w14:paraId="1EE796B8" w14:textId="77777777" w:rsidTr="2C62DAE5">
        <w:trPr>
          <w:trHeight w:val="320"/>
        </w:trPr>
        <w:tc>
          <w:tcPr>
            <w:tcW w:w="6075" w:type="dxa"/>
            <w:noWrap/>
            <w:hideMark/>
          </w:tcPr>
          <w:p w14:paraId="3ED758C0" w14:textId="6F6524BE" w:rsidR="00743BD4" w:rsidRPr="0046310C" w:rsidRDefault="00743BD4" w:rsidP="1EC0E998">
            <w:pPr>
              <w:pStyle w:val="Odsekzoznamu"/>
              <w:numPr>
                <w:ilvl w:val="0"/>
                <w:numId w:val="6"/>
              </w:numPr>
              <w:jc w:val="both"/>
              <w:rPr>
                <w:rFonts w:ascii="Arial Narrow" w:hAnsi="Arial Narrow" w:cstheme="minorHAnsi"/>
                <w:color w:val="000000" w:themeColor="text1"/>
                <w:sz w:val="24"/>
                <w:szCs w:val="24"/>
              </w:rPr>
            </w:pPr>
            <w:r>
              <w:rPr>
                <w:rFonts w:ascii="Arial Narrow" w:hAnsi="Arial Narrow"/>
                <w:color w:val="000000" w:themeColor="text1"/>
                <w:sz w:val="24"/>
              </w:rPr>
              <w:t>Offered unit price for optional equipment in total (Technical specification of the description of the subject-matter of the contract, points 2 and 3) Cell G61 of the Structured Budget (Sheets I and II)</w:t>
            </w:r>
          </w:p>
        </w:tc>
        <w:tc>
          <w:tcPr>
            <w:tcW w:w="943" w:type="dxa"/>
            <w:noWrap/>
            <w:hideMark/>
          </w:tcPr>
          <w:p w14:paraId="66749EEE" w14:textId="771E4459" w:rsidR="00743BD4" w:rsidRPr="0046310C" w:rsidRDefault="00AC15B6" w:rsidP="009809D7">
            <w:pPr>
              <w:ind w:left="36" w:hanging="36"/>
              <w:jc w:val="both"/>
              <w:rPr>
                <w:rFonts w:ascii="Arial Narrow" w:hAnsi="Arial Narrow" w:cstheme="minorHAnsi"/>
                <w:color w:val="000000" w:themeColor="text1"/>
                <w:sz w:val="24"/>
                <w:szCs w:val="24"/>
              </w:rPr>
            </w:pPr>
            <w:r>
              <w:rPr>
                <w:rFonts w:ascii="Arial Narrow" w:hAnsi="Arial Narrow"/>
                <w:color w:val="000000" w:themeColor="text1"/>
                <w:sz w:val="24"/>
              </w:rPr>
              <w:t>11 points</w:t>
            </w:r>
          </w:p>
        </w:tc>
        <w:tc>
          <w:tcPr>
            <w:tcW w:w="2054" w:type="dxa"/>
            <w:noWrap/>
            <w:hideMark/>
          </w:tcPr>
          <w:p w14:paraId="230200DB" w14:textId="0BBA1AD5" w:rsidR="00743BD4" w:rsidRPr="0046310C" w:rsidRDefault="00AC15B6" w:rsidP="00A270C9">
            <w:pPr>
              <w:jc w:val="both"/>
              <w:rPr>
                <w:rFonts w:ascii="Arial Narrow" w:hAnsi="Arial Narrow" w:cstheme="minorHAnsi"/>
                <w:color w:val="000000" w:themeColor="text1"/>
                <w:sz w:val="24"/>
                <w:szCs w:val="24"/>
              </w:rPr>
            </w:pPr>
            <w:r>
              <w:rPr>
                <w:rFonts w:ascii="Arial Narrow" w:hAnsi="Arial Narrow"/>
                <w:color w:val="000000" w:themeColor="text1"/>
                <w:sz w:val="24"/>
              </w:rPr>
              <w:t>11%</w:t>
            </w:r>
          </w:p>
        </w:tc>
      </w:tr>
      <w:tr w:rsidR="001704F4" w:rsidRPr="0046310C" w14:paraId="71F99152" w14:textId="77777777" w:rsidTr="2C62DAE5">
        <w:trPr>
          <w:trHeight w:val="320"/>
        </w:trPr>
        <w:tc>
          <w:tcPr>
            <w:tcW w:w="6075" w:type="dxa"/>
            <w:noWrap/>
            <w:hideMark/>
          </w:tcPr>
          <w:p w14:paraId="0269FF24" w14:textId="625F9251" w:rsidR="00743BD4" w:rsidRPr="0046310C" w:rsidRDefault="006B0AE9" w:rsidP="00743BD4">
            <w:pPr>
              <w:pStyle w:val="Odsekzoznamu"/>
              <w:numPr>
                <w:ilvl w:val="0"/>
                <w:numId w:val="6"/>
              </w:numPr>
              <w:jc w:val="both"/>
              <w:rPr>
                <w:rFonts w:ascii="Arial Narrow" w:hAnsi="Arial Narrow" w:cstheme="minorHAnsi"/>
                <w:color w:val="000000" w:themeColor="text1"/>
                <w:sz w:val="24"/>
                <w:szCs w:val="24"/>
              </w:rPr>
            </w:pPr>
            <w:r>
              <w:rPr>
                <w:rFonts w:ascii="Arial Narrow" w:hAnsi="Arial Narrow"/>
                <w:color w:val="000000" w:themeColor="text1"/>
                <w:sz w:val="24"/>
              </w:rPr>
              <w:t>Transport mission (payload) min.600kg</w:t>
            </w:r>
          </w:p>
        </w:tc>
        <w:tc>
          <w:tcPr>
            <w:tcW w:w="943" w:type="dxa"/>
            <w:noWrap/>
            <w:hideMark/>
          </w:tcPr>
          <w:p w14:paraId="376DB988" w14:textId="19ECE697" w:rsidR="00743BD4" w:rsidRPr="0046310C" w:rsidRDefault="00AC15B6" w:rsidP="00A270C9">
            <w:pPr>
              <w:jc w:val="both"/>
              <w:rPr>
                <w:rFonts w:ascii="Arial Narrow" w:hAnsi="Arial Narrow" w:cstheme="minorHAnsi"/>
                <w:color w:val="000000" w:themeColor="text1"/>
                <w:sz w:val="24"/>
                <w:szCs w:val="24"/>
              </w:rPr>
            </w:pPr>
            <w:r>
              <w:rPr>
                <w:rFonts w:ascii="Arial Narrow" w:hAnsi="Arial Narrow"/>
                <w:color w:val="000000" w:themeColor="text1"/>
                <w:sz w:val="24"/>
              </w:rPr>
              <w:t>8 points</w:t>
            </w:r>
          </w:p>
        </w:tc>
        <w:tc>
          <w:tcPr>
            <w:tcW w:w="2054" w:type="dxa"/>
            <w:noWrap/>
            <w:hideMark/>
          </w:tcPr>
          <w:p w14:paraId="07736BC1" w14:textId="1AABD8AF" w:rsidR="00743BD4" w:rsidRPr="0046310C" w:rsidRDefault="00AC15B6" w:rsidP="00A270C9">
            <w:pPr>
              <w:jc w:val="both"/>
              <w:rPr>
                <w:rFonts w:ascii="Arial Narrow" w:hAnsi="Arial Narrow" w:cstheme="minorHAnsi"/>
                <w:color w:val="000000" w:themeColor="text1"/>
                <w:sz w:val="24"/>
                <w:szCs w:val="24"/>
              </w:rPr>
            </w:pPr>
            <w:r>
              <w:rPr>
                <w:rFonts w:ascii="Arial Narrow" w:hAnsi="Arial Narrow"/>
                <w:color w:val="000000" w:themeColor="text1"/>
                <w:sz w:val="24"/>
              </w:rPr>
              <w:t>8%</w:t>
            </w:r>
          </w:p>
        </w:tc>
      </w:tr>
      <w:tr w:rsidR="001704F4" w:rsidRPr="0046310C" w14:paraId="4E65BB39" w14:textId="77777777" w:rsidTr="2C62DAE5">
        <w:trPr>
          <w:trHeight w:val="320"/>
        </w:trPr>
        <w:tc>
          <w:tcPr>
            <w:tcW w:w="6075" w:type="dxa"/>
            <w:noWrap/>
            <w:hideMark/>
          </w:tcPr>
          <w:p w14:paraId="0E48D833" w14:textId="527D4326" w:rsidR="00743BD4" w:rsidRPr="0046310C" w:rsidRDefault="002D4865" w:rsidP="00743BD4">
            <w:pPr>
              <w:pStyle w:val="Odsekzoznamu"/>
              <w:numPr>
                <w:ilvl w:val="0"/>
                <w:numId w:val="6"/>
              </w:numPr>
              <w:jc w:val="both"/>
              <w:rPr>
                <w:rFonts w:ascii="Arial Narrow" w:hAnsi="Arial Narrow" w:cstheme="minorHAnsi"/>
                <w:color w:val="000000" w:themeColor="text1"/>
                <w:sz w:val="24"/>
                <w:szCs w:val="24"/>
              </w:rPr>
            </w:pPr>
            <w:r>
              <w:rPr>
                <w:rFonts w:ascii="Arial Narrow" w:hAnsi="Arial Narrow"/>
                <w:color w:val="000000" w:themeColor="text1"/>
                <w:sz w:val="24"/>
              </w:rPr>
              <w:t>HEC (Human External Cargo)</w:t>
            </w:r>
          </w:p>
        </w:tc>
        <w:tc>
          <w:tcPr>
            <w:tcW w:w="943" w:type="dxa"/>
            <w:noWrap/>
            <w:hideMark/>
          </w:tcPr>
          <w:p w14:paraId="1B9AD51A" w14:textId="2237C29E" w:rsidR="00743BD4" w:rsidRPr="0046310C" w:rsidRDefault="00A6061F" w:rsidP="00A270C9">
            <w:pPr>
              <w:jc w:val="both"/>
              <w:rPr>
                <w:rFonts w:ascii="Arial Narrow" w:hAnsi="Arial Narrow" w:cstheme="minorHAnsi"/>
                <w:color w:val="000000" w:themeColor="text1"/>
                <w:sz w:val="24"/>
                <w:szCs w:val="24"/>
              </w:rPr>
            </w:pPr>
            <w:r>
              <w:rPr>
                <w:rFonts w:ascii="Arial Narrow" w:hAnsi="Arial Narrow"/>
                <w:color w:val="000000" w:themeColor="text1"/>
                <w:sz w:val="24"/>
              </w:rPr>
              <w:t>3 points</w:t>
            </w:r>
          </w:p>
        </w:tc>
        <w:tc>
          <w:tcPr>
            <w:tcW w:w="2054" w:type="dxa"/>
            <w:noWrap/>
            <w:hideMark/>
          </w:tcPr>
          <w:p w14:paraId="1DEDFF3E" w14:textId="267AF475" w:rsidR="00743BD4" w:rsidRPr="0046310C" w:rsidRDefault="00A6061F" w:rsidP="00A270C9">
            <w:pPr>
              <w:jc w:val="both"/>
              <w:rPr>
                <w:rFonts w:ascii="Arial Narrow" w:hAnsi="Arial Narrow" w:cstheme="minorHAnsi"/>
                <w:color w:val="000000" w:themeColor="text1"/>
                <w:sz w:val="24"/>
                <w:szCs w:val="24"/>
              </w:rPr>
            </w:pPr>
            <w:r>
              <w:rPr>
                <w:rFonts w:ascii="Arial Narrow" w:hAnsi="Arial Narrow"/>
                <w:color w:val="000000" w:themeColor="text1"/>
                <w:sz w:val="24"/>
              </w:rPr>
              <w:t>3%</w:t>
            </w:r>
          </w:p>
        </w:tc>
      </w:tr>
      <w:tr w:rsidR="001704F4" w:rsidRPr="0046310C" w14:paraId="34FA32D9" w14:textId="77777777" w:rsidTr="2C62DAE5">
        <w:trPr>
          <w:trHeight w:val="320"/>
        </w:trPr>
        <w:tc>
          <w:tcPr>
            <w:tcW w:w="6075" w:type="dxa"/>
            <w:noWrap/>
            <w:hideMark/>
          </w:tcPr>
          <w:p w14:paraId="2FCC6169" w14:textId="7F7E09FD" w:rsidR="00743BD4" w:rsidRPr="0046310C" w:rsidRDefault="00A07039" w:rsidP="00743BD4">
            <w:pPr>
              <w:pStyle w:val="Odsekzoznamu"/>
              <w:numPr>
                <w:ilvl w:val="0"/>
                <w:numId w:val="6"/>
              </w:numPr>
              <w:jc w:val="both"/>
              <w:rPr>
                <w:rFonts w:ascii="Arial Narrow" w:hAnsi="Arial Narrow" w:cstheme="minorHAnsi"/>
                <w:color w:val="000000" w:themeColor="text1"/>
                <w:sz w:val="24"/>
                <w:szCs w:val="24"/>
              </w:rPr>
            </w:pPr>
            <w:r>
              <w:rPr>
                <w:rFonts w:ascii="Arial Narrow" w:hAnsi="Arial Narrow"/>
                <w:color w:val="000000" w:themeColor="text1"/>
                <w:sz w:val="24"/>
              </w:rPr>
              <w:t>Cargo hook load capacity over 1500kg</w:t>
            </w:r>
          </w:p>
        </w:tc>
        <w:tc>
          <w:tcPr>
            <w:tcW w:w="943" w:type="dxa"/>
            <w:noWrap/>
            <w:hideMark/>
          </w:tcPr>
          <w:p w14:paraId="4EC1BB9B" w14:textId="2A67D240" w:rsidR="00743BD4" w:rsidRPr="0046310C" w:rsidRDefault="5266A71B" w:rsidP="7DC051F0">
            <w:pPr>
              <w:jc w:val="both"/>
              <w:rPr>
                <w:rFonts w:ascii="Arial Narrow" w:hAnsi="Arial Narrow" w:cstheme="minorHAnsi"/>
                <w:color w:val="000000" w:themeColor="text1"/>
                <w:sz w:val="24"/>
                <w:szCs w:val="24"/>
              </w:rPr>
            </w:pPr>
            <w:r>
              <w:rPr>
                <w:rFonts w:ascii="Arial Narrow" w:hAnsi="Arial Narrow"/>
                <w:color w:val="000000" w:themeColor="text1"/>
                <w:sz w:val="24"/>
              </w:rPr>
              <w:t>3 points</w:t>
            </w:r>
          </w:p>
        </w:tc>
        <w:tc>
          <w:tcPr>
            <w:tcW w:w="2054" w:type="dxa"/>
            <w:noWrap/>
            <w:hideMark/>
          </w:tcPr>
          <w:p w14:paraId="79470791" w14:textId="5F4C53D6" w:rsidR="00743BD4" w:rsidRPr="0046310C" w:rsidRDefault="1F27B0BB" w:rsidP="7DC051F0">
            <w:pPr>
              <w:jc w:val="both"/>
              <w:rPr>
                <w:rFonts w:ascii="Arial Narrow" w:hAnsi="Arial Narrow" w:cstheme="minorHAnsi"/>
                <w:color w:val="000000" w:themeColor="text1"/>
                <w:sz w:val="24"/>
                <w:szCs w:val="24"/>
              </w:rPr>
            </w:pPr>
            <w:r>
              <w:rPr>
                <w:rFonts w:ascii="Arial Narrow" w:hAnsi="Arial Narrow"/>
                <w:color w:val="000000" w:themeColor="text1"/>
                <w:sz w:val="24"/>
              </w:rPr>
              <w:t>3%</w:t>
            </w:r>
          </w:p>
        </w:tc>
      </w:tr>
      <w:tr w:rsidR="001704F4" w:rsidRPr="0046310C" w14:paraId="6EE2521E" w14:textId="77777777" w:rsidTr="2C62DAE5">
        <w:trPr>
          <w:trHeight w:val="320"/>
        </w:trPr>
        <w:tc>
          <w:tcPr>
            <w:tcW w:w="6075" w:type="dxa"/>
            <w:noWrap/>
          </w:tcPr>
          <w:p w14:paraId="06648A7F" w14:textId="1F5733A6" w:rsidR="00495B7D" w:rsidRPr="0046310C" w:rsidRDefault="00495B7D" w:rsidP="00495B7D">
            <w:pPr>
              <w:pStyle w:val="Odsekzoznamu"/>
              <w:numPr>
                <w:ilvl w:val="0"/>
                <w:numId w:val="6"/>
              </w:numPr>
              <w:jc w:val="both"/>
              <w:rPr>
                <w:rFonts w:ascii="Arial Narrow" w:hAnsi="Arial Narrow" w:cstheme="minorHAnsi"/>
                <w:color w:val="000000" w:themeColor="text1"/>
                <w:sz w:val="24"/>
                <w:szCs w:val="24"/>
              </w:rPr>
            </w:pPr>
            <w:r>
              <w:rPr>
                <w:rFonts w:ascii="Arial Narrow" w:hAnsi="Arial Narrow"/>
                <w:color w:val="000000" w:themeColor="text1"/>
                <w:sz w:val="24"/>
              </w:rPr>
              <w:t xml:space="preserve">Maximum number of seats </w:t>
            </w:r>
            <w:r w:rsidR="00094C33">
              <w:rPr>
                <w:rFonts w:ascii="Arial Narrow" w:hAnsi="Arial Narrow"/>
                <w:color w:val="000000" w:themeColor="text1"/>
                <w:sz w:val="24"/>
              </w:rPr>
              <w:t>in</w:t>
            </w:r>
            <w:r>
              <w:rPr>
                <w:rFonts w:ascii="Arial Narrow" w:hAnsi="Arial Narrow"/>
                <w:color w:val="000000" w:themeColor="text1"/>
                <w:sz w:val="24"/>
              </w:rPr>
              <w:t xml:space="preserve"> the cabin for PAX over 10</w:t>
            </w:r>
          </w:p>
        </w:tc>
        <w:tc>
          <w:tcPr>
            <w:tcW w:w="943" w:type="dxa"/>
            <w:noWrap/>
          </w:tcPr>
          <w:p w14:paraId="5A21CE8D" w14:textId="7FE47512" w:rsidR="00495B7D" w:rsidRPr="0046310C" w:rsidRDefault="00A6061F" w:rsidP="00495B7D">
            <w:pPr>
              <w:jc w:val="both"/>
              <w:rPr>
                <w:rFonts w:ascii="Arial Narrow" w:hAnsi="Arial Narrow" w:cstheme="minorHAnsi"/>
                <w:color w:val="000000" w:themeColor="text1"/>
                <w:sz w:val="24"/>
                <w:szCs w:val="24"/>
              </w:rPr>
            </w:pPr>
            <w:r>
              <w:rPr>
                <w:rFonts w:ascii="Arial Narrow" w:hAnsi="Arial Narrow"/>
                <w:color w:val="000000" w:themeColor="text1"/>
                <w:sz w:val="24"/>
              </w:rPr>
              <w:t>6 points</w:t>
            </w:r>
          </w:p>
        </w:tc>
        <w:tc>
          <w:tcPr>
            <w:tcW w:w="2054" w:type="dxa"/>
            <w:noWrap/>
          </w:tcPr>
          <w:p w14:paraId="5DFDDBB3" w14:textId="2129F2E1" w:rsidR="00495B7D" w:rsidRPr="0046310C" w:rsidRDefault="00A6061F" w:rsidP="00495B7D">
            <w:pPr>
              <w:jc w:val="both"/>
              <w:rPr>
                <w:rFonts w:ascii="Arial Narrow" w:hAnsi="Arial Narrow" w:cstheme="minorHAnsi"/>
                <w:color w:val="000000" w:themeColor="text1"/>
                <w:sz w:val="24"/>
                <w:szCs w:val="24"/>
              </w:rPr>
            </w:pPr>
            <w:r>
              <w:rPr>
                <w:rFonts w:ascii="Arial Narrow" w:hAnsi="Arial Narrow"/>
                <w:color w:val="000000" w:themeColor="text1"/>
                <w:sz w:val="24"/>
              </w:rPr>
              <w:t>6%</w:t>
            </w:r>
          </w:p>
        </w:tc>
      </w:tr>
      <w:tr w:rsidR="001704F4" w:rsidRPr="0046310C" w14:paraId="471B82DE" w14:textId="77777777" w:rsidTr="2C62DAE5">
        <w:trPr>
          <w:trHeight w:val="320"/>
        </w:trPr>
        <w:tc>
          <w:tcPr>
            <w:tcW w:w="6075" w:type="dxa"/>
            <w:noWrap/>
            <w:hideMark/>
          </w:tcPr>
          <w:p w14:paraId="7D7D7B55" w14:textId="77777777" w:rsidR="00495B7D" w:rsidRPr="0046310C" w:rsidRDefault="00495B7D" w:rsidP="00495B7D">
            <w:pPr>
              <w:pStyle w:val="Odsekzoznamu"/>
              <w:ind w:left="360"/>
              <w:jc w:val="both"/>
              <w:rPr>
                <w:rFonts w:ascii="Arial Narrow" w:hAnsi="Arial Narrow" w:cstheme="minorHAnsi"/>
                <w:b/>
                <w:bCs/>
                <w:color w:val="000000" w:themeColor="text1"/>
                <w:sz w:val="24"/>
                <w:szCs w:val="24"/>
              </w:rPr>
            </w:pPr>
            <w:r>
              <w:rPr>
                <w:rFonts w:ascii="Arial Narrow" w:hAnsi="Arial Narrow"/>
                <w:b/>
                <w:color w:val="000000" w:themeColor="text1"/>
                <w:sz w:val="24"/>
              </w:rPr>
              <w:t>TOTAL</w:t>
            </w:r>
          </w:p>
        </w:tc>
        <w:tc>
          <w:tcPr>
            <w:tcW w:w="943" w:type="dxa"/>
            <w:noWrap/>
            <w:hideMark/>
          </w:tcPr>
          <w:p w14:paraId="51F1572D" w14:textId="77777777" w:rsidR="00495B7D" w:rsidRPr="0046310C" w:rsidRDefault="00495B7D" w:rsidP="00495B7D">
            <w:pPr>
              <w:jc w:val="both"/>
              <w:rPr>
                <w:rFonts w:ascii="Arial Narrow" w:hAnsi="Arial Narrow" w:cstheme="minorHAnsi"/>
                <w:b/>
                <w:bCs/>
                <w:color w:val="000000" w:themeColor="text1"/>
                <w:sz w:val="24"/>
                <w:szCs w:val="24"/>
              </w:rPr>
            </w:pPr>
            <w:r>
              <w:rPr>
                <w:rFonts w:ascii="Arial Narrow" w:hAnsi="Arial Narrow"/>
                <w:b/>
                <w:color w:val="000000" w:themeColor="text1"/>
                <w:sz w:val="24"/>
              </w:rPr>
              <w:t>100 points</w:t>
            </w:r>
          </w:p>
        </w:tc>
        <w:tc>
          <w:tcPr>
            <w:tcW w:w="2054" w:type="dxa"/>
            <w:noWrap/>
            <w:hideMark/>
          </w:tcPr>
          <w:p w14:paraId="32AA3762" w14:textId="77777777" w:rsidR="00495B7D" w:rsidRPr="0046310C" w:rsidRDefault="00495B7D" w:rsidP="00495B7D">
            <w:pPr>
              <w:jc w:val="both"/>
              <w:rPr>
                <w:rFonts w:ascii="Arial Narrow" w:hAnsi="Arial Narrow" w:cstheme="minorHAnsi"/>
                <w:b/>
                <w:bCs/>
                <w:color w:val="000000" w:themeColor="text1"/>
                <w:sz w:val="24"/>
                <w:szCs w:val="24"/>
              </w:rPr>
            </w:pPr>
            <w:r>
              <w:rPr>
                <w:rFonts w:ascii="Arial Narrow" w:hAnsi="Arial Narrow"/>
                <w:b/>
                <w:color w:val="000000" w:themeColor="text1"/>
                <w:sz w:val="24"/>
              </w:rPr>
              <w:t>100%</w:t>
            </w:r>
          </w:p>
        </w:tc>
      </w:tr>
    </w:tbl>
    <w:p w14:paraId="05785771" w14:textId="77777777" w:rsidR="00743BD4" w:rsidRPr="0046310C" w:rsidRDefault="00743BD4" w:rsidP="1EC0E998">
      <w:pPr>
        <w:jc w:val="both"/>
        <w:rPr>
          <w:rFonts w:ascii="Arial Narrow" w:hAnsi="Arial Narrow" w:cstheme="minorHAnsi"/>
          <w:color w:val="000000" w:themeColor="text1"/>
        </w:rPr>
      </w:pPr>
    </w:p>
    <w:p w14:paraId="5704138F" w14:textId="77777777" w:rsidR="005F5A94" w:rsidRPr="0046310C" w:rsidRDefault="005F5A94" w:rsidP="00743BD4">
      <w:pPr>
        <w:jc w:val="both"/>
        <w:rPr>
          <w:rFonts w:ascii="Arial Narrow" w:hAnsi="Arial Narrow" w:cstheme="minorHAnsi"/>
          <w:color w:val="000000" w:themeColor="text1"/>
        </w:rPr>
      </w:pPr>
    </w:p>
    <w:p w14:paraId="74BF46E4" w14:textId="7249C429" w:rsidR="00743BD4" w:rsidRPr="0046310C" w:rsidRDefault="00743BD4" w:rsidP="00743BD4">
      <w:pPr>
        <w:pStyle w:val="Odsekzoznamu"/>
        <w:numPr>
          <w:ilvl w:val="0"/>
          <w:numId w:val="2"/>
        </w:numPr>
        <w:jc w:val="both"/>
        <w:rPr>
          <w:rFonts w:ascii="Arial Narrow" w:hAnsi="Arial Narrow" w:cstheme="minorHAnsi"/>
          <w:b/>
          <w:bCs/>
          <w:color w:val="000000" w:themeColor="text1"/>
        </w:rPr>
      </w:pPr>
      <w:r>
        <w:rPr>
          <w:rFonts w:ascii="Arial Narrow" w:hAnsi="Arial Narrow"/>
          <w:b/>
          <w:color w:val="000000" w:themeColor="text1"/>
        </w:rPr>
        <w:t>Price offered (criterion weight 69%)</w:t>
      </w:r>
    </w:p>
    <w:p w14:paraId="13833B48" w14:textId="14848ABA" w:rsidR="00743BD4" w:rsidRPr="0046310C" w:rsidRDefault="00743BD4" w:rsidP="00693AF0">
      <w:pPr>
        <w:ind w:left="360"/>
        <w:jc w:val="both"/>
        <w:rPr>
          <w:rFonts w:ascii="Arial Narrow" w:hAnsi="Arial Narrow" w:cstheme="minorHAnsi"/>
          <w:b/>
          <w:bCs/>
          <w:color w:val="000000" w:themeColor="text1"/>
        </w:rPr>
      </w:pPr>
      <w:r>
        <w:rPr>
          <w:rFonts w:ascii="Arial Narrow" w:hAnsi="Arial Narrow"/>
          <w:color w:val="000000" w:themeColor="text1"/>
        </w:rPr>
        <w:t>The unit price for a helicopter in the basic configuration is evaluated. (without optional equipment) Technical Specification, Point 1.</w:t>
      </w:r>
    </w:p>
    <w:p w14:paraId="3F441B50" w14:textId="77777777" w:rsidR="00601600" w:rsidRPr="0046310C" w:rsidRDefault="00601600" w:rsidP="00743BD4">
      <w:pPr>
        <w:ind w:left="360"/>
        <w:jc w:val="both"/>
        <w:rPr>
          <w:rFonts w:ascii="Arial Narrow" w:hAnsi="Arial Narrow" w:cstheme="minorHAnsi"/>
          <w:b/>
          <w:bCs/>
          <w:color w:val="000000" w:themeColor="text1"/>
        </w:rPr>
      </w:pPr>
    </w:p>
    <w:p w14:paraId="2C85F074" w14:textId="45BB58A2" w:rsidR="00743BD4" w:rsidRPr="0046310C" w:rsidRDefault="00743BD4" w:rsidP="00743BD4">
      <w:pPr>
        <w:ind w:left="360"/>
        <w:jc w:val="both"/>
        <w:rPr>
          <w:rFonts w:ascii="Arial Narrow" w:hAnsi="Arial Narrow" w:cstheme="minorHAnsi"/>
          <w:b/>
          <w:bCs/>
          <w:color w:val="000000" w:themeColor="text1"/>
        </w:rPr>
      </w:pPr>
      <w:r>
        <w:rPr>
          <w:rFonts w:ascii="Arial Narrow" w:hAnsi="Arial Narrow"/>
          <w:b/>
          <w:color w:val="000000" w:themeColor="text1"/>
        </w:rPr>
        <w:t>Calculation of points:</w:t>
      </w:r>
    </w:p>
    <w:p w14:paraId="432A94C6" w14:textId="77777777" w:rsidR="00743BD4" w:rsidRPr="0046310C" w:rsidRDefault="00743BD4" w:rsidP="00601600">
      <w:pPr>
        <w:jc w:val="both"/>
        <w:rPr>
          <w:rFonts w:ascii="Arial Narrow" w:hAnsi="Arial Narrow" w:cstheme="minorHAnsi"/>
          <w:color w:val="000000" w:themeColor="text1"/>
        </w:rPr>
      </w:pPr>
    </w:p>
    <w:p w14:paraId="539A5335" w14:textId="498C53C0" w:rsidR="00743BD4" w:rsidRPr="0046310C" w:rsidRDefault="00094C33" w:rsidP="00C924A0">
      <w:pPr>
        <w:ind w:left="360"/>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m:t>Points for price</m:t>
          </m:r>
          <m:r>
            <m:rPr>
              <m:sty m:val="p"/>
            </m:rPr>
            <w:rPr>
              <w:rFonts w:ascii="Cambria Math" w:hAnsi="Cambria Math" w:cstheme="minorHAnsi"/>
              <w:color w:val="000000" w:themeColor="text1"/>
            </w:rPr>
            <m:t xml:space="preserve">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The lowest offered price</m:t>
                  </m:r>
                </m:num>
                <m:den>
                  <m:r>
                    <m:rPr>
                      <m:sty m:val="p"/>
                    </m:rPr>
                    <w:rPr>
                      <w:rFonts w:ascii="Cambria Math" w:hAnsi="Cambria Math" w:cstheme="minorHAnsi"/>
                      <w:color w:val="000000" w:themeColor="text1"/>
                    </w:rPr>
                    <m:t>Offered price</m:t>
                  </m:r>
                </m:den>
              </m:f>
            </m:e>
          </m:d>
          <m:r>
            <m:rPr>
              <m:sty m:val="p"/>
            </m:rPr>
            <w:rPr>
              <w:rFonts w:ascii="Cambria Math" w:hAnsi="Cambria Math" w:cstheme="minorHAnsi"/>
              <w:color w:val="000000" w:themeColor="text1"/>
            </w:rPr>
            <m:t xml:space="preserve"> x 69</m:t>
          </m:r>
        </m:oMath>
      </m:oMathPara>
    </w:p>
    <w:p w14:paraId="62770BF1" w14:textId="77777777" w:rsidR="00743BD4" w:rsidRPr="0046310C" w:rsidRDefault="00743BD4" w:rsidP="00743BD4">
      <w:pPr>
        <w:ind w:left="708"/>
        <w:jc w:val="both"/>
        <w:rPr>
          <w:rFonts w:ascii="Arial Narrow" w:hAnsi="Arial Narrow" w:cstheme="minorHAnsi"/>
          <w:color w:val="000000" w:themeColor="text1"/>
        </w:rPr>
      </w:pPr>
    </w:p>
    <w:p w14:paraId="0ED5C7E3" w14:textId="77777777" w:rsidR="005F5A94" w:rsidRPr="0046310C" w:rsidRDefault="005F5A94" w:rsidP="00743BD4">
      <w:pPr>
        <w:ind w:left="708"/>
        <w:jc w:val="both"/>
        <w:rPr>
          <w:rFonts w:ascii="Arial Narrow" w:hAnsi="Arial Narrow" w:cstheme="minorHAnsi"/>
          <w:color w:val="000000" w:themeColor="text1"/>
        </w:rPr>
      </w:pPr>
    </w:p>
    <w:p w14:paraId="129AB0EB" w14:textId="37DC8EA1" w:rsidR="001619DA" w:rsidRPr="0046310C" w:rsidRDefault="001619DA" w:rsidP="001619DA">
      <w:pPr>
        <w:pStyle w:val="Odsekzoznamu"/>
        <w:numPr>
          <w:ilvl w:val="0"/>
          <w:numId w:val="2"/>
        </w:numPr>
        <w:jc w:val="both"/>
        <w:rPr>
          <w:rFonts w:ascii="Arial Narrow" w:hAnsi="Arial Narrow" w:cstheme="minorHAnsi"/>
          <w:b/>
          <w:bCs/>
          <w:color w:val="000000" w:themeColor="text1"/>
        </w:rPr>
      </w:pPr>
      <w:r>
        <w:rPr>
          <w:rFonts w:ascii="Arial Narrow" w:hAnsi="Arial Narrow"/>
          <w:b/>
          <w:color w:val="000000" w:themeColor="text1"/>
        </w:rPr>
        <w:t>Price offered for optional equipment (criterion weight 11%)</w:t>
      </w:r>
    </w:p>
    <w:p w14:paraId="5381EBC8" w14:textId="49A2F5BF" w:rsidR="001619DA" w:rsidRPr="0046310C" w:rsidRDefault="009819CF" w:rsidP="001619DA">
      <w:pPr>
        <w:ind w:left="360"/>
        <w:jc w:val="both"/>
        <w:rPr>
          <w:rFonts w:ascii="Arial Narrow" w:hAnsi="Arial Narrow" w:cstheme="minorHAnsi"/>
          <w:color w:val="000000" w:themeColor="text1"/>
        </w:rPr>
      </w:pPr>
      <w:r>
        <w:rPr>
          <w:rFonts w:ascii="Arial Narrow" w:hAnsi="Arial Narrow"/>
          <w:color w:val="000000" w:themeColor="text1"/>
        </w:rPr>
        <w:t xml:space="preserve">The offered unit price for optional helicopter equipment is evaluated. </w:t>
      </w:r>
      <w:r>
        <w:rPr>
          <w:rFonts w:ascii="Arial Narrow" w:hAnsi="Arial Narrow"/>
          <w:b/>
          <w:color w:val="000000" w:themeColor="text1"/>
        </w:rPr>
        <w:t>The price must not exceed the maximum permissible price set by the contracting authority.</w:t>
      </w:r>
    </w:p>
    <w:p w14:paraId="3A3F2B47" w14:textId="77777777" w:rsidR="001619DA" w:rsidRPr="0046310C" w:rsidRDefault="001619DA" w:rsidP="001619DA">
      <w:pPr>
        <w:jc w:val="both"/>
        <w:rPr>
          <w:rFonts w:ascii="Arial Narrow" w:hAnsi="Arial Narrow" w:cstheme="minorHAnsi"/>
          <w:b/>
          <w:bCs/>
          <w:color w:val="000000" w:themeColor="text1"/>
        </w:rPr>
      </w:pPr>
    </w:p>
    <w:p w14:paraId="1C605A59" w14:textId="77777777" w:rsidR="001619DA" w:rsidRPr="0046310C" w:rsidRDefault="001619DA" w:rsidP="001619DA">
      <w:pPr>
        <w:ind w:left="708"/>
        <w:jc w:val="both"/>
        <w:rPr>
          <w:rFonts w:ascii="Arial Narrow" w:hAnsi="Arial Narrow" w:cstheme="minorHAnsi"/>
          <w:color w:val="000000" w:themeColor="text1"/>
        </w:rPr>
      </w:pPr>
    </w:p>
    <w:p w14:paraId="3776C0D4" w14:textId="4F60F91A" w:rsidR="001619DA" w:rsidRPr="0046310C" w:rsidRDefault="00094C33" w:rsidP="001619DA">
      <w:pPr>
        <w:ind w:left="708"/>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m:t>Points for price</m:t>
          </m:r>
          <m:r>
            <m:rPr>
              <m:sty m:val="p"/>
            </m:rPr>
            <w:rPr>
              <w:rFonts w:ascii="Cambria Math" w:hAnsi="Cambria Math" w:cstheme="minorHAnsi"/>
              <w:color w:val="000000" w:themeColor="text1"/>
            </w:rPr>
            <m:t xml:space="preserve">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The lowest offered price</m:t>
                  </m:r>
                </m:num>
                <m:den>
                  <m:r>
                    <m:rPr>
                      <m:sty m:val="p"/>
                    </m:rPr>
                    <w:rPr>
                      <w:rFonts w:ascii="Cambria Math" w:hAnsi="Cambria Math" w:cstheme="minorHAnsi"/>
                      <w:color w:val="000000" w:themeColor="text1"/>
                    </w:rPr>
                    <m:t>Offered price</m:t>
                  </m:r>
                </m:den>
              </m:f>
            </m:e>
          </m:d>
          <m:r>
            <m:rPr>
              <m:sty m:val="p"/>
            </m:rPr>
            <w:rPr>
              <w:rFonts w:ascii="Cambria Math" w:hAnsi="Cambria Math" w:cstheme="minorHAnsi"/>
              <w:color w:val="000000" w:themeColor="text1"/>
            </w:rPr>
            <m:t xml:space="preserve"> x 11</m:t>
          </m:r>
        </m:oMath>
      </m:oMathPara>
    </w:p>
    <w:p w14:paraId="368909AD" w14:textId="77777777" w:rsidR="00952821" w:rsidRPr="0046310C" w:rsidRDefault="00952821" w:rsidP="00952821">
      <w:pPr>
        <w:ind w:left="360"/>
        <w:jc w:val="both"/>
        <w:rPr>
          <w:rFonts w:ascii="Arial Narrow" w:hAnsi="Arial Narrow" w:cstheme="minorHAnsi"/>
          <w:color w:val="000000" w:themeColor="text1"/>
        </w:rPr>
      </w:pPr>
    </w:p>
    <w:p w14:paraId="42451068" w14:textId="77777777" w:rsidR="00952821" w:rsidRPr="0046310C" w:rsidRDefault="00952821" w:rsidP="00952821">
      <w:pPr>
        <w:ind w:left="360"/>
        <w:jc w:val="both"/>
        <w:rPr>
          <w:rFonts w:ascii="Arial Narrow" w:hAnsi="Arial Narrow" w:cstheme="minorHAnsi"/>
          <w:color w:val="000000" w:themeColor="text1"/>
        </w:rPr>
      </w:pPr>
      <w:r>
        <w:rPr>
          <w:rFonts w:ascii="Arial Narrow" w:hAnsi="Arial Narrow"/>
          <w:color w:val="000000" w:themeColor="text1"/>
        </w:rPr>
        <w:t>Note: The total unit price of all equipment according to point 2 – Technical Specification is evaluated.</w:t>
      </w:r>
    </w:p>
    <w:p w14:paraId="01BAACF1" w14:textId="0CCA7E92" w:rsidR="00DB7542" w:rsidRPr="0046310C" w:rsidRDefault="00DB7542" w:rsidP="2C62DAE5">
      <w:pPr>
        <w:ind w:left="708"/>
        <w:jc w:val="both"/>
        <w:rPr>
          <w:rFonts w:ascii="Arial Narrow" w:hAnsi="Arial Narrow" w:cstheme="minorHAnsi"/>
          <w:color w:val="000000" w:themeColor="text1"/>
        </w:rPr>
      </w:pPr>
    </w:p>
    <w:p w14:paraId="3BED1245" w14:textId="77777777" w:rsidR="005F5A94" w:rsidRPr="0046310C" w:rsidRDefault="005F5A94" w:rsidP="00743BD4">
      <w:pPr>
        <w:ind w:left="708"/>
        <w:jc w:val="both"/>
        <w:rPr>
          <w:rFonts w:ascii="Arial Narrow" w:hAnsi="Arial Narrow" w:cstheme="minorHAnsi"/>
          <w:color w:val="000000" w:themeColor="text1"/>
        </w:rPr>
      </w:pPr>
    </w:p>
    <w:p w14:paraId="5140813C" w14:textId="5D5F2D52" w:rsidR="00710254" w:rsidRPr="0046310C" w:rsidRDefault="00E060A1" w:rsidP="00710254">
      <w:pPr>
        <w:pStyle w:val="Odsekzoznamu"/>
        <w:numPr>
          <w:ilvl w:val="0"/>
          <w:numId w:val="2"/>
        </w:numPr>
        <w:jc w:val="both"/>
        <w:rPr>
          <w:rFonts w:ascii="Arial Narrow" w:hAnsi="Arial Narrow" w:cstheme="minorHAnsi"/>
          <w:b/>
          <w:bCs/>
          <w:color w:val="000000" w:themeColor="text1"/>
        </w:rPr>
      </w:pPr>
      <w:r>
        <w:rPr>
          <w:rFonts w:ascii="Arial Narrow" w:hAnsi="Arial Narrow"/>
          <w:b/>
          <w:color w:val="000000" w:themeColor="text1"/>
        </w:rPr>
        <w:t>Transport mission (payload) min. 600 kg (criterion weight 8%)</w:t>
      </w:r>
    </w:p>
    <w:p w14:paraId="26EA4382" w14:textId="152A1D0E" w:rsidR="00710254" w:rsidRPr="0046310C" w:rsidRDefault="00710254" w:rsidP="7DC051F0">
      <w:pPr>
        <w:jc w:val="both"/>
        <w:rPr>
          <w:rFonts w:ascii="Arial Narrow" w:hAnsi="Arial Narrow" w:cstheme="minorHAnsi"/>
          <w:color w:val="000000" w:themeColor="text1"/>
        </w:rPr>
      </w:pPr>
      <w:r>
        <w:rPr>
          <w:rFonts w:ascii="Arial Narrow" w:hAnsi="Arial Narrow"/>
          <w:color w:val="000000" w:themeColor="text1"/>
        </w:rPr>
        <w:t>The helicopter’s payload for the transport mission during take-off at MTOW is evaluated. The minimum required value for mission fulfilment is 600 kg, which represents 0 points. Points are awarded only for values above 600 kg – the greater the increase above this threshold, the more points. A higher value above 600 kg = more points. Note: The transport mission is calculated based on the weight of the helicopter equipped in accordance with Point 1 – Technical Specification.</w:t>
      </w:r>
    </w:p>
    <w:p w14:paraId="4B42CC06" w14:textId="77777777" w:rsidR="00743BD4" w:rsidRPr="0046310C" w:rsidRDefault="00743BD4" w:rsidP="00743BD4">
      <w:pPr>
        <w:pStyle w:val="Odsekzoznamu"/>
        <w:ind w:left="360"/>
        <w:jc w:val="both"/>
        <w:rPr>
          <w:rFonts w:ascii="Arial Narrow" w:hAnsi="Arial Narrow" w:cstheme="minorHAnsi"/>
          <w:b/>
          <w:bCs/>
          <w:color w:val="000000" w:themeColor="text1"/>
        </w:rPr>
      </w:pPr>
    </w:p>
    <w:p w14:paraId="70058398" w14:textId="77777777" w:rsidR="00654EED" w:rsidRPr="0046310C" w:rsidRDefault="00654EED" w:rsidP="00654EED">
      <w:pPr>
        <w:ind w:left="708"/>
        <w:jc w:val="both"/>
        <w:rPr>
          <w:rFonts w:ascii="Arial Narrow" w:hAnsi="Arial Narrow" w:cstheme="minorHAnsi"/>
          <w:color w:val="000000" w:themeColor="text1"/>
        </w:rPr>
      </w:pPr>
    </w:p>
    <w:p w14:paraId="1E964566" w14:textId="6007BBFD" w:rsidR="00654EED" w:rsidRPr="0046310C" w:rsidRDefault="00094C33" w:rsidP="00654EED">
      <w:pPr>
        <w:ind w:left="708"/>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m:t>Points for</m:t>
          </m:r>
          <m:r>
            <m:rPr>
              <m:sty m:val="p"/>
            </m:rPr>
            <w:rPr>
              <w:rFonts w:ascii="Cambria Math" w:hAnsi="Cambria Math" w:cstheme="minorHAnsi"/>
              <w:color w:val="000000" w:themeColor="text1"/>
            </w:rPr>
            <m:t xml:space="preserve"> payload(transp. missi</m:t>
          </m:r>
          <m:r>
            <m:rPr>
              <m:sty m:val="p"/>
            </m:rPr>
            <w:rPr>
              <w:rFonts w:ascii="Cambria Math" w:hAnsi="Cambria Math" w:cstheme="minorHAnsi"/>
              <w:color w:val="000000" w:themeColor="text1"/>
            </w:rPr>
            <m:t>on</m:t>
          </m:r>
          <m:r>
            <m:rPr>
              <m:sty m:val="p"/>
            </m:rPr>
            <w:rPr>
              <w:rFonts w:ascii="Cambria Math" w:hAnsi="Cambria Math" w:cstheme="minorHAnsi"/>
              <w:color w:val="000000" w:themeColor="text1"/>
            </w:rPr>
            <m:t>)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Offered</m:t>
                  </m:r>
                  <m:r>
                    <m:rPr>
                      <m:sty m:val="p"/>
                    </m:rPr>
                    <w:rPr>
                      <w:rFonts w:ascii="Cambria Math" w:hAnsi="Cambria Math" w:cstheme="minorHAnsi"/>
                      <w:color w:val="000000" w:themeColor="text1"/>
                    </w:rPr>
                    <m:t xml:space="preserve"> payload-600</m:t>
                  </m:r>
                </m:num>
                <m:den>
                  <m:r>
                    <m:rPr>
                      <m:sty m:val="p"/>
                    </m:rPr>
                    <w:rPr>
                      <w:rFonts w:ascii="Cambria Math" w:hAnsi="Cambria Math" w:cstheme="minorHAnsi"/>
                      <w:color w:val="000000" w:themeColor="text1"/>
                    </w:rPr>
                    <m:t xml:space="preserve">The highest offered </m:t>
                  </m:r>
                  <m:r>
                    <m:rPr>
                      <m:sty m:val="p"/>
                    </m:rPr>
                    <w:rPr>
                      <w:rFonts w:ascii="Cambria Math" w:hAnsi="Cambria Math" w:cstheme="minorHAnsi"/>
                      <w:color w:val="000000" w:themeColor="text1"/>
                    </w:rPr>
                    <m:t>payload-600</m:t>
                  </m:r>
                </m:den>
              </m:f>
            </m:e>
          </m:d>
          <m:r>
            <m:rPr>
              <m:sty m:val="p"/>
            </m:rPr>
            <w:rPr>
              <w:rFonts w:ascii="Cambria Math" w:hAnsi="Cambria Math" w:cstheme="minorHAnsi"/>
              <w:color w:val="000000" w:themeColor="text1"/>
            </w:rPr>
            <m:t xml:space="preserve"> x 8</m:t>
          </m:r>
        </m:oMath>
      </m:oMathPara>
    </w:p>
    <w:p w14:paraId="3538ACFC" w14:textId="77777777" w:rsidR="00E748C5" w:rsidRPr="0046310C" w:rsidRDefault="00E748C5" w:rsidP="00654EED">
      <w:pPr>
        <w:ind w:left="708"/>
        <w:jc w:val="both"/>
        <w:rPr>
          <w:rFonts w:ascii="Arial Narrow" w:hAnsi="Arial Narrow" w:cstheme="minorHAnsi"/>
          <w:color w:val="000000" w:themeColor="text1"/>
        </w:rPr>
      </w:pPr>
    </w:p>
    <w:p w14:paraId="339321E1" w14:textId="77777777" w:rsidR="00743BD4" w:rsidRPr="0046310C" w:rsidRDefault="00743BD4" w:rsidP="00743BD4">
      <w:pPr>
        <w:jc w:val="both"/>
        <w:rPr>
          <w:rFonts w:ascii="Arial Narrow" w:hAnsi="Arial Narrow" w:cstheme="minorHAnsi"/>
          <w:color w:val="000000" w:themeColor="text1"/>
        </w:rPr>
      </w:pPr>
    </w:p>
    <w:p w14:paraId="2E877BD9" w14:textId="6C6146CE" w:rsidR="00743BD4" w:rsidRPr="0046310C" w:rsidRDefault="00876A54" w:rsidP="00743BD4">
      <w:pPr>
        <w:pStyle w:val="Odsekzoznamu"/>
        <w:numPr>
          <w:ilvl w:val="0"/>
          <w:numId w:val="2"/>
        </w:numPr>
        <w:jc w:val="both"/>
        <w:rPr>
          <w:rFonts w:ascii="Arial Narrow" w:hAnsi="Arial Narrow" w:cstheme="minorHAnsi"/>
          <w:b/>
          <w:bCs/>
          <w:color w:val="000000" w:themeColor="text1"/>
        </w:rPr>
      </w:pPr>
      <w:r>
        <w:rPr>
          <w:rFonts w:ascii="Arial Narrow" w:hAnsi="Arial Narrow"/>
          <w:b/>
          <w:color w:val="000000" w:themeColor="text1"/>
        </w:rPr>
        <w:t>HEC (Human External Cargo) (criterion weight 3%)</w:t>
      </w:r>
    </w:p>
    <w:p w14:paraId="6BEDFDC4" w14:textId="0A0E09D0" w:rsidR="00C13E05" w:rsidRPr="0046310C" w:rsidRDefault="00C13E05" w:rsidP="00C13E05">
      <w:pPr>
        <w:jc w:val="both"/>
        <w:rPr>
          <w:rFonts w:ascii="Arial Narrow" w:hAnsi="Arial Narrow" w:cstheme="minorHAnsi"/>
          <w:color w:val="000000" w:themeColor="text1"/>
        </w:rPr>
      </w:pPr>
      <w:r>
        <w:rPr>
          <w:rFonts w:ascii="Arial Narrow" w:hAnsi="Arial Narrow"/>
          <w:color w:val="000000" w:themeColor="text1"/>
        </w:rPr>
        <w:t>It is evaluated whether the tenderer offers a cargo hook with HEC capability (rescue missions with a person on a rope).</w:t>
      </w:r>
    </w:p>
    <w:p w14:paraId="1EA6F5C5" w14:textId="77777777" w:rsidR="00743BD4" w:rsidRPr="0046310C" w:rsidRDefault="00743BD4" w:rsidP="00C13E05">
      <w:pPr>
        <w:jc w:val="both"/>
        <w:rPr>
          <w:rFonts w:ascii="Arial Narrow" w:hAnsi="Arial Narrow" w:cstheme="minorHAnsi"/>
          <w:b/>
          <w:bCs/>
          <w:color w:val="000000" w:themeColor="text1"/>
        </w:rPr>
      </w:pPr>
    </w:p>
    <w:p w14:paraId="062F5A6A" w14:textId="54CC7446" w:rsidR="00743BD4" w:rsidRPr="0046310C" w:rsidRDefault="00743BD4" w:rsidP="00743BD4">
      <w:pPr>
        <w:numPr>
          <w:ilvl w:val="0"/>
          <w:numId w:val="4"/>
        </w:numPr>
        <w:jc w:val="both"/>
        <w:rPr>
          <w:rFonts w:ascii="Arial Narrow" w:hAnsi="Arial Narrow" w:cstheme="minorHAnsi"/>
          <w:color w:val="000000" w:themeColor="text1"/>
        </w:rPr>
      </w:pPr>
      <w:r>
        <w:rPr>
          <w:rFonts w:ascii="Arial Narrow" w:hAnsi="Arial Narrow"/>
          <w:color w:val="000000" w:themeColor="text1"/>
        </w:rPr>
        <w:t>YES = 3 points</w:t>
      </w:r>
    </w:p>
    <w:p w14:paraId="61AC51CC" w14:textId="77777777" w:rsidR="00743BD4" w:rsidRPr="0046310C" w:rsidRDefault="00743BD4" w:rsidP="00743BD4">
      <w:pPr>
        <w:numPr>
          <w:ilvl w:val="0"/>
          <w:numId w:val="4"/>
        </w:numPr>
        <w:jc w:val="both"/>
        <w:rPr>
          <w:rFonts w:ascii="Arial Narrow" w:hAnsi="Arial Narrow" w:cstheme="minorHAnsi"/>
          <w:color w:val="000000" w:themeColor="text1"/>
        </w:rPr>
      </w:pPr>
      <w:r>
        <w:rPr>
          <w:rFonts w:ascii="Arial Narrow" w:hAnsi="Arial Narrow"/>
          <w:color w:val="000000" w:themeColor="text1"/>
        </w:rPr>
        <w:t>NO = 0 points</w:t>
      </w:r>
    </w:p>
    <w:p w14:paraId="2ACAEF47" w14:textId="77777777" w:rsidR="00743BD4" w:rsidRPr="0046310C" w:rsidRDefault="00743BD4" w:rsidP="00743BD4">
      <w:pPr>
        <w:ind w:left="720"/>
        <w:jc w:val="both"/>
        <w:rPr>
          <w:rFonts w:ascii="Arial Narrow" w:hAnsi="Arial Narrow" w:cstheme="minorHAnsi"/>
          <w:color w:val="000000" w:themeColor="text1"/>
        </w:rPr>
      </w:pPr>
    </w:p>
    <w:p w14:paraId="2B888E16" w14:textId="77777777" w:rsidR="00743BD4" w:rsidRPr="0046310C" w:rsidRDefault="00743BD4" w:rsidP="00743BD4">
      <w:pPr>
        <w:jc w:val="both"/>
        <w:rPr>
          <w:rFonts w:ascii="Arial Narrow" w:hAnsi="Arial Narrow" w:cstheme="minorHAnsi"/>
          <w:color w:val="000000" w:themeColor="text1"/>
        </w:rPr>
      </w:pPr>
    </w:p>
    <w:p w14:paraId="30BFACC6" w14:textId="5AD28B60" w:rsidR="00743BD4" w:rsidRPr="0046310C" w:rsidRDefault="00DA1EEF" w:rsidP="00743BD4">
      <w:pPr>
        <w:pStyle w:val="Odsekzoznamu"/>
        <w:numPr>
          <w:ilvl w:val="0"/>
          <w:numId w:val="2"/>
        </w:numPr>
        <w:jc w:val="both"/>
        <w:rPr>
          <w:rFonts w:ascii="Arial Narrow" w:hAnsi="Arial Narrow" w:cstheme="minorHAnsi"/>
          <w:b/>
          <w:bCs/>
          <w:color w:val="000000" w:themeColor="text1"/>
        </w:rPr>
      </w:pPr>
      <w:r>
        <w:rPr>
          <w:rFonts w:ascii="Arial Narrow" w:hAnsi="Arial Narrow"/>
          <w:b/>
          <w:color w:val="000000" w:themeColor="text1"/>
        </w:rPr>
        <w:t>Cargo hook load capacity (criterion weight 3%)</w:t>
      </w:r>
    </w:p>
    <w:p w14:paraId="1FF52A2E" w14:textId="5C4D8D70" w:rsidR="00C13E05" w:rsidRPr="0046310C" w:rsidRDefault="00E50432" w:rsidP="00C13E05">
      <w:pPr>
        <w:jc w:val="both"/>
        <w:rPr>
          <w:rFonts w:ascii="Arial Narrow" w:hAnsi="Arial Narrow" w:cstheme="minorHAnsi"/>
          <w:color w:val="000000" w:themeColor="text1"/>
        </w:rPr>
      </w:pPr>
      <w:r>
        <w:rPr>
          <w:rFonts w:ascii="Arial Narrow" w:hAnsi="Arial Narrow"/>
          <w:color w:val="000000" w:themeColor="text1"/>
        </w:rPr>
        <w:t>The maximum offered load capacity of the cargo hook is evaluated. The minimum requested hook load capacity is 1500 kg. Points are awarded only for values offered above 1,500 kg.</w:t>
      </w:r>
    </w:p>
    <w:p w14:paraId="4453E60C" w14:textId="6D8D2EE9" w:rsidR="00743BD4" w:rsidRPr="0046310C" w:rsidRDefault="00743BD4" w:rsidP="000A2AA5">
      <w:pPr>
        <w:pStyle w:val="Odsekzoznamu"/>
        <w:ind w:left="360"/>
        <w:jc w:val="both"/>
        <w:rPr>
          <w:rFonts w:ascii="Arial Narrow" w:hAnsi="Arial Narrow" w:cstheme="minorHAnsi"/>
          <w:b/>
          <w:bCs/>
          <w:color w:val="000000" w:themeColor="text1"/>
        </w:rPr>
      </w:pPr>
    </w:p>
    <w:p w14:paraId="4A54DF03" w14:textId="77777777" w:rsidR="000A2AA5" w:rsidRPr="0046310C" w:rsidRDefault="000A2AA5" w:rsidP="000A2AA5">
      <w:pPr>
        <w:ind w:left="708"/>
        <w:jc w:val="both"/>
        <w:rPr>
          <w:rFonts w:ascii="Arial Narrow" w:hAnsi="Arial Narrow" w:cstheme="minorHAnsi"/>
          <w:color w:val="000000" w:themeColor="text1"/>
        </w:rPr>
      </w:pPr>
    </w:p>
    <w:p w14:paraId="34FC5819" w14:textId="113FECC0" w:rsidR="000A2AA5" w:rsidRPr="0046310C" w:rsidRDefault="00094C33" w:rsidP="000A2AA5">
      <w:pPr>
        <w:ind w:left="708"/>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m:t>Points for hook load cap.</m:t>
          </m:r>
          <m:r>
            <m:rPr>
              <m:sty m:val="p"/>
            </m:rPr>
            <w:rPr>
              <w:rFonts w:ascii="Cambria Math" w:hAnsi="Cambria Math" w:cstheme="minorHAnsi"/>
              <w:color w:val="000000" w:themeColor="text1"/>
            </w:rPr>
            <m:t xml:space="preserve">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Offered hook load capacity</m:t>
                  </m:r>
                  <m:r>
                    <m:rPr>
                      <m:sty m:val="p"/>
                    </m:rPr>
                    <w:rPr>
                      <w:rFonts w:ascii="Cambria Math" w:hAnsi="Cambria Math" w:cstheme="minorHAnsi"/>
                      <w:color w:val="000000" w:themeColor="text1"/>
                    </w:rPr>
                    <m:t>-1500</m:t>
                  </m:r>
                </m:num>
                <m:den>
                  <m:r>
                    <m:rPr>
                      <m:sty m:val="p"/>
                    </m:rPr>
                    <w:rPr>
                      <w:rFonts w:ascii="Cambria Math" w:hAnsi="Cambria Math" w:cstheme="minorHAnsi"/>
                      <w:color w:val="000000" w:themeColor="text1"/>
                    </w:rPr>
                    <m:t>The highest o</m:t>
                  </m:r>
                  <m:r>
                    <m:rPr>
                      <m:sty m:val="p"/>
                    </m:rPr>
                    <w:rPr>
                      <w:rFonts w:ascii="Cambria Math" w:hAnsi="Cambria Math" w:cstheme="minorHAnsi"/>
                      <w:color w:val="000000" w:themeColor="text1"/>
                    </w:rPr>
                    <m:t>ffered hook load capacity</m:t>
                  </m:r>
                  <m:r>
                    <m:rPr>
                      <m:sty m:val="p"/>
                    </m:rPr>
                    <w:rPr>
                      <w:rFonts w:ascii="Cambria Math" w:hAnsi="Cambria Math" w:cstheme="minorHAnsi"/>
                      <w:color w:val="000000" w:themeColor="text1"/>
                    </w:rPr>
                    <m:t>-1500</m:t>
                  </m:r>
                </m:den>
              </m:f>
            </m:e>
          </m:d>
          <m:r>
            <m:rPr>
              <m:sty m:val="p"/>
            </m:rPr>
            <w:rPr>
              <w:rFonts w:ascii="Cambria Math" w:hAnsi="Cambria Math" w:cstheme="minorHAnsi"/>
              <w:color w:val="000000" w:themeColor="text1"/>
            </w:rPr>
            <m:t xml:space="preserve"> x 3</m:t>
          </m:r>
        </m:oMath>
      </m:oMathPara>
    </w:p>
    <w:p w14:paraId="7D6B5681" w14:textId="77777777" w:rsidR="006C28D8" w:rsidRPr="0046310C" w:rsidRDefault="006C28D8" w:rsidP="000A2AA5">
      <w:pPr>
        <w:ind w:left="708"/>
        <w:jc w:val="both"/>
        <w:rPr>
          <w:rFonts w:ascii="Arial Narrow" w:hAnsi="Arial Narrow" w:cstheme="minorHAnsi"/>
          <w:color w:val="000000" w:themeColor="text1"/>
        </w:rPr>
      </w:pPr>
    </w:p>
    <w:p w14:paraId="1979A9FD" w14:textId="77777777" w:rsidR="00C25C51" w:rsidRPr="0046310C" w:rsidRDefault="00C25C51" w:rsidP="006C28D8">
      <w:pPr>
        <w:jc w:val="both"/>
        <w:rPr>
          <w:rFonts w:ascii="Arial Narrow" w:hAnsi="Arial Narrow" w:cstheme="minorHAnsi"/>
          <w:color w:val="000000" w:themeColor="text1"/>
        </w:rPr>
      </w:pPr>
    </w:p>
    <w:p w14:paraId="117C2150" w14:textId="7C2831EA" w:rsidR="000A2AA5" w:rsidRPr="0046310C" w:rsidRDefault="000A2AA5" w:rsidP="40C5D488">
      <w:pPr>
        <w:pStyle w:val="Odsekzoznamu"/>
        <w:numPr>
          <w:ilvl w:val="0"/>
          <w:numId w:val="2"/>
        </w:numPr>
        <w:jc w:val="both"/>
        <w:rPr>
          <w:rFonts w:ascii="Arial Narrow" w:hAnsi="Arial Narrow" w:cstheme="minorHAnsi"/>
          <w:b/>
          <w:bCs/>
          <w:color w:val="000000" w:themeColor="text1"/>
        </w:rPr>
      </w:pPr>
      <w:r>
        <w:rPr>
          <w:rFonts w:ascii="Arial Narrow" w:hAnsi="Arial Narrow"/>
          <w:b/>
          <w:color w:val="000000" w:themeColor="text1"/>
        </w:rPr>
        <w:t>Maximum number of seats in the compartment for PAX over 10 (criterion weight 6%)</w:t>
      </w:r>
    </w:p>
    <w:p w14:paraId="16488479" w14:textId="613CE0D0" w:rsidR="00F25D0D" w:rsidRPr="0046310C" w:rsidRDefault="00F25D0D" w:rsidP="00F379DB">
      <w:pPr>
        <w:jc w:val="both"/>
        <w:rPr>
          <w:rFonts w:ascii="Arial Narrow" w:hAnsi="Arial Narrow" w:cstheme="minorHAnsi"/>
          <w:color w:val="000000" w:themeColor="text1"/>
        </w:rPr>
      </w:pPr>
      <w:r>
        <w:rPr>
          <w:rFonts w:ascii="Arial Narrow" w:hAnsi="Arial Narrow"/>
          <w:color w:val="000000" w:themeColor="text1"/>
        </w:rPr>
        <w:t>The maximum number of passenger seats in the passenger compartment is evaluated. The minimum required number of PAX in the passenger compartment is 10. Points are awarded only for values offered above 10 PAX. (Seats for the two crew members are not counted)</w:t>
      </w:r>
    </w:p>
    <w:p w14:paraId="7C2FFC10" w14:textId="77777777" w:rsidR="00F25D0D" w:rsidRPr="0046310C" w:rsidRDefault="00F25D0D" w:rsidP="00F25D0D">
      <w:pPr>
        <w:jc w:val="both"/>
        <w:rPr>
          <w:rFonts w:ascii="Arial Narrow" w:hAnsi="Arial Narrow" w:cstheme="minorHAnsi"/>
          <w:b/>
          <w:bCs/>
          <w:color w:val="000000" w:themeColor="text1"/>
        </w:rPr>
      </w:pPr>
    </w:p>
    <w:p w14:paraId="6216AF2F" w14:textId="77777777" w:rsidR="000A2AA5" w:rsidRPr="0046310C" w:rsidRDefault="000A2AA5" w:rsidP="000A2AA5">
      <w:pPr>
        <w:pStyle w:val="Odsekzoznamu"/>
        <w:ind w:left="360"/>
        <w:jc w:val="both"/>
        <w:rPr>
          <w:rFonts w:ascii="Arial Narrow" w:hAnsi="Arial Narrow" w:cstheme="minorHAnsi"/>
          <w:b/>
          <w:bCs/>
          <w:color w:val="000000" w:themeColor="text1"/>
        </w:rPr>
      </w:pPr>
    </w:p>
    <w:p w14:paraId="417F53C2" w14:textId="77777777" w:rsidR="000A2AA5" w:rsidRPr="0046310C" w:rsidRDefault="000A2AA5" w:rsidP="00AF1797">
      <w:pPr>
        <w:jc w:val="both"/>
        <w:rPr>
          <w:rFonts w:ascii="Arial Narrow" w:hAnsi="Arial Narrow" w:cstheme="minorHAnsi"/>
          <w:color w:val="000000" w:themeColor="text1"/>
        </w:rPr>
      </w:pPr>
    </w:p>
    <w:p w14:paraId="4CBD047B" w14:textId="5F4AB394" w:rsidR="000A2AA5" w:rsidRPr="0046310C" w:rsidRDefault="00094C33" w:rsidP="000A2AA5">
      <w:pPr>
        <w:ind w:left="708"/>
        <w:jc w:val="both"/>
        <w:rPr>
          <w:rFonts w:ascii="Arial Narrow" w:hAnsi="Arial Narrow" w:cstheme="minorHAnsi"/>
        </w:rPr>
      </w:pPr>
      <m:oMathPara>
        <m:oMathParaPr>
          <m:jc m:val="center"/>
        </m:oMathParaPr>
        <m:oMath>
          <m:r>
            <m:rPr>
              <m:sty m:val="p"/>
            </m:rPr>
            <w:rPr>
              <w:rFonts w:ascii="Cambria Math" w:hAnsi="Cambria Math" w:cstheme="minorHAnsi"/>
              <w:color w:val="000000" w:themeColor="text1"/>
            </w:rPr>
            <m:t>Points for number of seats</m:t>
          </m:r>
          <m:r>
            <m:rPr>
              <m:sty m:val="p"/>
            </m:rPr>
            <w:rPr>
              <w:rFonts w:ascii="Cambria Math" w:hAnsi="Cambria Math" w:cstheme="minorHAnsi"/>
              <w:color w:val="000000" w:themeColor="text1"/>
            </w:rPr>
            <m:t xml:space="preserve">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 xml:space="preserve">Offered </m:t>
                  </m:r>
                  <m:r>
                    <m:rPr>
                      <m:sty m:val="p"/>
                    </m:rPr>
                    <w:rPr>
                      <w:rFonts w:ascii="Cambria Math" w:hAnsi="Cambria Math" w:cstheme="minorHAnsi"/>
                      <w:color w:val="000000" w:themeColor="text1"/>
                    </w:rPr>
                    <m:t xml:space="preserve">number of seats </m:t>
                  </m:r>
                  <m:r>
                    <m:rPr>
                      <m:sty m:val="p"/>
                    </m:rPr>
                    <w:rPr>
                      <w:rFonts w:ascii="Cambria Math" w:hAnsi="Cambria Math" w:cstheme="minorHAnsi"/>
                      <w:color w:val="000000" w:themeColor="text1"/>
                    </w:rPr>
                    <m:t>-10</m:t>
                  </m:r>
                </m:num>
                <m:den>
                  <m:r>
                    <m:rPr>
                      <m:sty m:val="p"/>
                    </m:rPr>
                    <w:rPr>
                      <w:rFonts w:ascii="Cambria Math" w:hAnsi="Cambria Math" w:cstheme="minorHAnsi"/>
                      <w:color w:val="000000" w:themeColor="text1"/>
                    </w:rPr>
                    <m:t xml:space="preserve">The highest offered </m:t>
                  </m:r>
                  <m:r>
                    <m:rPr>
                      <m:sty m:val="p"/>
                    </m:rPr>
                    <w:rPr>
                      <w:rFonts w:ascii="Cambria Math" w:hAnsi="Cambria Math" w:cstheme="minorHAnsi"/>
                      <w:color w:val="000000" w:themeColor="text1"/>
                    </w:rPr>
                    <m:t xml:space="preserve">number of seats </m:t>
                  </m:r>
                  <m:r>
                    <m:rPr>
                      <m:sty m:val="p"/>
                    </m:rPr>
                    <w:rPr>
                      <w:rFonts w:ascii="Cambria Math" w:hAnsi="Cambria Math" w:cstheme="minorHAnsi"/>
                      <w:color w:val="000000" w:themeColor="text1"/>
                    </w:rPr>
                    <m:t>-10</m:t>
                  </m:r>
                </m:den>
              </m:f>
            </m:e>
          </m:d>
          <m:r>
            <m:rPr>
              <m:sty m:val="p"/>
            </m:rPr>
            <w:rPr>
              <w:rFonts w:ascii="Cambria Math" w:hAnsi="Cambria Math" w:cstheme="minorHAnsi"/>
              <w:color w:val="000000" w:themeColor="text1"/>
            </w:rPr>
            <m:t xml:space="preserve"> x 6</m:t>
          </m:r>
        </m:oMath>
      </m:oMathPara>
    </w:p>
    <w:p w14:paraId="79E6742F" w14:textId="66CE0AAF" w:rsidR="03B5BC7A" w:rsidRPr="0046310C" w:rsidRDefault="03B5BC7A" w:rsidP="03B5BC7A">
      <w:pPr>
        <w:ind w:left="708"/>
        <w:jc w:val="both"/>
        <w:rPr>
          <w:rFonts w:ascii="Arial Narrow" w:hAnsi="Arial Narrow" w:cstheme="minorHAnsi"/>
        </w:rPr>
      </w:pPr>
    </w:p>
    <w:p w14:paraId="432D7242" w14:textId="77777777" w:rsidR="00112CA7" w:rsidRPr="0046310C" w:rsidRDefault="00112CA7" w:rsidP="00112CA7">
      <w:pPr>
        <w:rPr>
          <w:rFonts w:ascii="Arial Narrow" w:hAnsi="Arial Narrow" w:cstheme="minorHAnsi"/>
          <w:color w:val="000000" w:themeColor="text1"/>
        </w:rPr>
      </w:pPr>
    </w:p>
    <w:p w14:paraId="4185317B" w14:textId="57F33216" w:rsidR="00112CA7" w:rsidRPr="00EF6EA9" w:rsidRDefault="00112CA7" w:rsidP="00EF6EA9">
      <w:pPr>
        <w:jc w:val="both"/>
        <w:rPr>
          <w:rFonts w:ascii="Arial Narrow" w:hAnsi="Arial Narrow" w:cstheme="minorHAnsi"/>
          <w:color w:val="000000" w:themeColor="text1"/>
        </w:rPr>
      </w:pPr>
      <w:r>
        <w:rPr>
          <w:rFonts w:ascii="Arial Narrow" w:hAnsi="Arial Narrow"/>
          <w:color w:val="000000" w:themeColor="text1"/>
        </w:rPr>
        <w:t xml:space="preserve">The ranking of tenderers will be determined based on the total number of points earned after evaluating the criteria (the sum of points from both criteria) for tender evaluation, in descending order, from the </w:t>
      </w:r>
      <w:r>
        <w:rPr>
          <w:rFonts w:ascii="Arial Narrow" w:hAnsi="Arial Narrow"/>
          <w:color w:val="000000" w:themeColor="text1"/>
        </w:rPr>
        <w:lastRenderedPageBreak/>
        <w:t xml:space="preserve">highest number of points to the lowest number of points (from 2nd place in the ranking to </w:t>
      </w:r>
      <w:proofErr w:type="spellStart"/>
      <w:r>
        <w:rPr>
          <w:rFonts w:ascii="Arial Narrow" w:hAnsi="Arial Narrow"/>
          <w:color w:val="000000" w:themeColor="text1"/>
        </w:rPr>
        <w:t>xth</w:t>
      </w:r>
      <w:proofErr w:type="spellEnd"/>
      <w:r>
        <w:rPr>
          <w:rFonts w:ascii="Arial Narrow" w:hAnsi="Arial Narrow"/>
          <w:color w:val="000000" w:themeColor="text1"/>
        </w:rPr>
        <w:t xml:space="preserve"> place, where x is the number of tenderers whose bids were evaluated). </w:t>
      </w:r>
    </w:p>
    <w:p w14:paraId="1BAFDD2A" w14:textId="77777777" w:rsidR="00E579C2" w:rsidRPr="0046310C" w:rsidRDefault="00E579C2" w:rsidP="519DA3F4">
      <w:pPr>
        <w:rPr>
          <w:rFonts w:ascii="Arial Narrow" w:hAnsi="Arial Narrow" w:cstheme="minorHAnsi"/>
          <w:color w:val="000000" w:themeColor="text1"/>
          <w:highlight w:val="yellow"/>
        </w:rPr>
      </w:pPr>
    </w:p>
    <w:p w14:paraId="48AFAB10" w14:textId="77777777" w:rsidR="002D745A" w:rsidRPr="0046310C" w:rsidRDefault="002D745A" w:rsidP="519DA3F4">
      <w:pPr>
        <w:rPr>
          <w:rFonts w:ascii="Arial Narrow" w:hAnsi="Arial Narrow" w:cstheme="minorHAnsi"/>
          <w:color w:val="000000" w:themeColor="text1"/>
          <w:highlight w:val="yellow"/>
        </w:rPr>
      </w:pPr>
    </w:p>
    <w:p w14:paraId="16425DAE" w14:textId="5B6034B4" w:rsidR="002D745A" w:rsidRPr="00EF6EA9" w:rsidRDefault="002D745A" w:rsidP="00EF6EA9">
      <w:pPr>
        <w:jc w:val="both"/>
        <w:rPr>
          <w:rFonts w:ascii="Arial Narrow" w:hAnsi="Arial Narrow" w:cstheme="minorHAnsi"/>
          <w:color w:val="000000" w:themeColor="text1"/>
        </w:rPr>
      </w:pPr>
      <w:r>
        <w:rPr>
          <w:rFonts w:ascii="Arial Narrow" w:hAnsi="Arial Narrow"/>
          <w:color w:val="000000" w:themeColor="text1"/>
        </w:rPr>
        <w:t xml:space="preserve">In the event of a tie in the total points achieved by multiple tenderers, or by all tenderers, the tiebreaker shall be the sum of criteria 1 and 2, i.e., the lowest total price for the subject-matter of the contract expressed in euros exclusive of VAT and customs duty. </w:t>
      </w:r>
    </w:p>
    <w:p w14:paraId="03D00FE7" w14:textId="77777777" w:rsidR="002D745A" w:rsidRPr="0046310C" w:rsidRDefault="002D745A" w:rsidP="519DA3F4">
      <w:pPr>
        <w:rPr>
          <w:rFonts w:ascii="Arial Narrow" w:hAnsi="Arial Narrow" w:cstheme="minorHAnsi"/>
          <w:color w:val="000000" w:themeColor="text1"/>
          <w:highlight w:val="yellow"/>
        </w:rPr>
      </w:pPr>
    </w:p>
    <w:p w14:paraId="70205157" w14:textId="77777777" w:rsidR="004E5F35" w:rsidRPr="0046310C" w:rsidRDefault="004E5F35" w:rsidP="519DA3F4">
      <w:pPr>
        <w:rPr>
          <w:rFonts w:ascii="Arial Narrow" w:hAnsi="Arial Narrow" w:cstheme="minorHAnsi"/>
          <w:color w:val="000000" w:themeColor="text1"/>
          <w:highlight w:val="yellow"/>
        </w:rPr>
      </w:pPr>
    </w:p>
    <w:p w14:paraId="22DD7097" w14:textId="001F89FC" w:rsidR="004E5F35" w:rsidRPr="009827E6" w:rsidRDefault="004E5F35" w:rsidP="009827E6">
      <w:pPr>
        <w:jc w:val="both"/>
        <w:rPr>
          <w:rFonts w:ascii="Arial Narrow" w:hAnsi="Arial Narrow" w:cstheme="minorHAnsi"/>
        </w:rPr>
      </w:pPr>
      <w:r>
        <w:rPr>
          <w:rFonts w:ascii="Arial Narrow" w:hAnsi="Arial Narrow"/>
        </w:rPr>
        <w:t xml:space="preserve">It is the sole responsibility of the candidate to thoroughly review the tender documents, and the documentation provided for the preparation of a tender, as well as all clarifications/additions to the tender documents provided during the tender process, and to obtain reliable information regarding any and all conditions and obligations that may in any way affect the price and nature of the tender. </w:t>
      </w:r>
    </w:p>
    <w:p w14:paraId="134380EA" w14:textId="77777777" w:rsidR="004E5F35" w:rsidRPr="0046310C" w:rsidRDefault="004E5F35" w:rsidP="519DA3F4">
      <w:pPr>
        <w:rPr>
          <w:rFonts w:ascii="Arial Narrow" w:hAnsi="Arial Narrow" w:cstheme="minorHAnsi"/>
          <w:color w:val="FF0000"/>
          <w:highlight w:val="yellow"/>
        </w:rPr>
      </w:pPr>
    </w:p>
    <w:p w14:paraId="51C14413" w14:textId="77777777" w:rsidR="00FD3494" w:rsidRPr="009827E6" w:rsidRDefault="00FD3494" w:rsidP="009827E6">
      <w:pPr>
        <w:jc w:val="both"/>
        <w:rPr>
          <w:rFonts w:ascii="Arial Narrow" w:hAnsi="Arial Narrow" w:cstheme="minorHAnsi"/>
          <w:color w:val="FF0000"/>
        </w:rPr>
      </w:pPr>
    </w:p>
    <w:p w14:paraId="7E5D7965" w14:textId="1F542945" w:rsidR="00FD3494" w:rsidRPr="009827E6" w:rsidRDefault="00FD3494" w:rsidP="009827E6">
      <w:pPr>
        <w:jc w:val="both"/>
        <w:rPr>
          <w:rFonts w:ascii="Arial Narrow" w:hAnsi="Arial Narrow" w:cstheme="minorHAnsi"/>
        </w:rPr>
      </w:pPr>
      <w:r>
        <w:rPr>
          <w:rFonts w:ascii="Arial Narrow" w:hAnsi="Arial Narrow"/>
        </w:rPr>
        <w:t>The tenderer’s accepted tender is binding for the conclusion of the contractual relationship, as set forth in accordance with the tenderer’s tender. It covers all contractual obligations and is fixed and unchangeable for the duration of the contractual relationship.</w:t>
      </w:r>
    </w:p>
    <w:p w14:paraId="13ABC4C5" w14:textId="0BBE39BB" w:rsidR="1B4CF92F" w:rsidRPr="009827E6" w:rsidRDefault="1B4CF92F" w:rsidP="009827E6">
      <w:pPr>
        <w:jc w:val="both"/>
        <w:rPr>
          <w:rFonts w:ascii="Arial Narrow" w:hAnsi="Arial Narrow" w:cstheme="minorHAnsi"/>
        </w:rPr>
      </w:pPr>
    </w:p>
    <w:p w14:paraId="2703D6FE" w14:textId="490B3687" w:rsidR="316162ED" w:rsidRPr="009827E6" w:rsidRDefault="316162ED" w:rsidP="009827E6">
      <w:pPr>
        <w:jc w:val="both"/>
        <w:rPr>
          <w:rFonts w:ascii="Arial Narrow" w:hAnsi="Arial Narrow" w:cstheme="minorHAnsi"/>
        </w:rPr>
      </w:pPr>
      <w:r>
        <w:rPr>
          <w:rFonts w:ascii="Arial Narrow" w:hAnsi="Arial Narrow"/>
        </w:rPr>
        <w:t>Proposals for meeting the evaluation criteria submitted by tenderers are binding and will be incorporated into the Framework Agreement. These provisions may only be amended in accordance with Article 18 of the Public Procurement Act, or the mechanism defined by the Framework Agreement (e.g., inflation provisions).</w:t>
      </w:r>
    </w:p>
    <w:p w14:paraId="0A4A411E" w14:textId="77777777" w:rsidR="004E5F35" w:rsidRPr="009827E6" w:rsidRDefault="004E5F35" w:rsidP="009827E6">
      <w:pPr>
        <w:jc w:val="both"/>
        <w:rPr>
          <w:rFonts w:ascii="Arial Narrow" w:hAnsi="Arial Narrow" w:cstheme="minorHAnsi"/>
          <w:color w:val="FF0000"/>
        </w:rPr>
      </w:pPr>
    </w:p>
    <w:p w14:paraId="36C11618" w14:textId="21A0A77F" w:rsidR="007B56AC" w:rsidRPr="009827E6" w:rsidRDefault="007B56AC" w:rsidP="009827E6">
      <w:pPr>
        <w:jc w:val="both"/>
        <w:rPr>
          <w:rFonts w:ascii="Arial Narrow" w:hAnsi="Arial Narrow" w:cstheme="minorHAnsi"/>
        </w:rPr>
      </w:pPr>
      <w:r>
        <w:rPr>
          <w:rFonts w:ascii="Arial Narrow" w:hAnsi="Arial Narrow"/>
        </w:rPr>
        <w:t xml:space="preserve">The successful tenderer in this competition will be the tenderer who submits a tender based on the best price-quality ratio according to the specified criteria, i.e., who obtains the highest total score for the individual evaluation criteria. </w:t>
      </w:r>
    </w:p>
    <w:p w14:paraId="62F1EF35" w14:textId="77777777" w:rsidR="00E8008B" w:rsidRPr="0046310C" w:rsidRDefault="00E8008B" w:rsidP="519DA3F4">
      <w:pPr>
        <w:rPr>
          <w:rFonts w:ascii="Arial Narrow" w:hAnsi="Arial Narrow" w:cstheme="minorHAnsi"/>
          <w:highlight w:val="yellow"/>
        </w:rPr>
      </w:pPr>
    </w:p>
    <w:p w14:paraId="29A54A35" w14:textId="77777777" w:rsidR="00E8008B" w:rsidRPr="0046310C" w:rsidRDefault="00E8008B" w:rsidP="519DA3F4">
      <w:pPr>
        <w:rPr>
          <w:rFonts w:ascii="Arial Narrow" w:hAnsi="Arial Narrow" w:cstheme="minorHAnsi"/>
          <w:highlight w:val="yellow"/>
        </w:rPr>
      </w:pPr>
    </w:p>
    <w:p w14:paraId="6B58D6CE" w14:textId="14845691" w:rsidR="00587C9F" w:rsidRPr="0046310C" w:rsidRDefault="00045B14" w:rsidP="007B56AC">
      <w:pPr>
        <w:rPr>
          <w:rFonts w:ascii="Arial Narrow" w:hAnsi="Arial Narrow" w:cstheme="minorHAnsi"/>
        </w:rPr>
      </w:pPr>
      <w:r>
        <w:rPr>
          <w:rFonts w:ascii="Arial Narrow" w:hAnsi="Arial Narrow"/>
        </w:rPr>
        <w:t xml:space="preserve">All prices in the tender must be expressed in EUR, rounded to two decimal places. </w:t>
      </w:r>
    </w:p>
    <w:p w14:paraId="22727EC2" w14:textId="77777777" w:rsidR="00FD3494" w:rsidRPr="0046310C" w:rsidRDefault="00FD3494" w:rsidP="004E5F35">
      <w:pPr>
        <w:rPr>
          <w:rFonts w:ascii="Arial Narrow" w:hAnsi="Arial Narrow" w:cstheme="minorHAnsi"/>
          <w:color w:val="FF0000"/>
        </w:rPr>
      </w:pPr>
    </w:p>
    <w:p w14:paraId="0D15B4F7" w14:textId="77777777" w:rsidR="004E5F35" w:rsidRPr="0046310C" w:rsidRDefault="004E5F35">
      <w:pPr>
        <w:rPr>
          <w:rFonts w:ascii="Arial Narrow" w:hAnsi="Arial Narrow" w:cstheme="minorHAnsi"/>
          <w:color w:val="000000" w:themeColor="text1"/>
        </w:rPr>
      </w:pPr>
    </w:p>
    <w:sectPr w:rsidR="004E5F35" w:rsidRPr="0046310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0080E" w14:textId="77777777" w:rsidR="0079361F" w:rsidRDefault="0079361F">
      <w:r>
        <w:separator/>
      </w:r>
    </w:p>
  </w:endnote>
  <w:endnote w:type="continuationSeparator" w:id="0">
    <w:p w14:paraId="72D6C1C3" w14:textId="77777777" w:rsidR="0079361F" w:rsidRDefault="0079361F">
      <w:r>
        <w:continuationSeparator/>
      </w:r>
    </w:p>
  </w:endnote>
  <w:endnote w:type="continuationNotice" w:id="1">
    <w:p w14:paraId="718E916A" w14:textId="77777777" w:rsidR="0079361F" w:rsidRDefault="00793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2D540D3" w14:paraId="4B1300F1" w14:textId="77777777" w:rsidTr="52D540D3">
      <w:trPr>
        <w:trHeight w:val="300"/>
      </w:trPr>
      <w:tc>
        <w:tcPr>
          <w:tcW w:w="3020" w:type="dxa"/>
        </w:tcPr>
        <w:p w14:paraId="29C01DD2" w14:textId="364FC0A9" w:rsidR="52D540D3" w:rsidRDefault="52D540D3" w:rsidP="52D540D3">
          <w:pPr>
            <w:ind w:left="-115"/>
          </w:pPr>
        </w:p>
      </w:tc>
      <w:tc>
        <w:tcPr>
          <w:tcW w:w="3020" w:type="dxa"/>
        </w:tcPr>
        <w:p w14:paraId="191BBB5E" w14:textId="517CCB90" w:rsidR="52D540D3" w:rsidRDefault="52D540D3" w:rsidP="52D540D3">
          <w:pPr>
            <w:jc w:val="center"/>
          </w:pPr>
        </w:p>
      </w:tc>
      <w:tc>
        <w:tcPr>
          <w:tcW w:w="3020" w:type="dxa"/>
        </w:tcPr>
        <w:p w14:paraId="702158B8" w14:textId="1F11B225" w:rsidR="52D540D3" w:rsidRDefault="52D540D3" w:rsidP="52D540D3">
          <w:pPr>
            <w:ind w:right="-115"/>
            <w:jc w:val="right"/>
          </w:pPr>
        </w:p>
      </w:tc>
    </w:tr>
  </w:tbl>
  <w:p w14:paraId="1837BF53" w14:textId="26DE6022" w:rsidR="52D540D3" w:rsidRDefault="52D540D3" w:rsidP="52D54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9C2B2" w14:textId="77777777" w:rsidR="0079361F" w:rsidRDefault="0079361F">
      <w:r>
        <w:separator/>
      </w:r>
    </w:p>
  </w:footnote>
  <w:footnote w:type="continuationSeparator" w:id="0">
    <w:p w14:paraId="252D2AE2" w14:textId="77777777" w:rsidR="0079361F" w:rsidRDefault="0079361F">
      <w:r>
        <w:continuationSeparator/>
      </w:r>
    </w:p>
  </w:footnote>
  <w:footnote w:type="continuationNotice" w:id="1">
    <w:p w14:paraId="4484357F" w14:textId="77777777" w:rsidR="0079361F" w:rsidRDefault="00793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369" w:type="dxa"/>
      <w:tblLayout w:type="fixed"/>
      <w:tblLook w:val="06A0" w:firstRow="1" w:lastRow="0" w:firstColumn="1" w:lastColumn="0" w:noHBand="1" w:noVBand="1"/>
    </w:tblPr>
    <w:tblGrid>
      <w:gridCol w:w="9639"/>
      <w:gridCol w:w="355"/>
      <w:gridCol w:w="355"/>
      <w:gridCol w:w="3020"/>
    </w:tblGrid>
    <w:tr w:rsidR="004952E7" w14:paraId="0019AE8B" w14:textId="77777777" w:rsidTr="004952E7">
      <w:trPr>
        <w:trHeight w:val="300"/>
      </w:trPr>
      <w:tc>
        <w:tcPr>
          <w:tcW w:w="9639" w:type="dxa"/>
        </w:tcPr>
        <w:p w14:paraId="0133A4DE" w14:textId="5085A727" w:rsidR="004952E7" w:rsidRPr="004952E7" w:rsidRDefault="004952E7" w:rsidP="004952E7">
          <w:pPr>
            <w:ind w:left="-115"/>
            <w:jc w:val="right"/>
            <w:rPr>
              <w:rFonts w:asciiTheme="minorHAnsi" w:hAnsiTheme="minorHAnsi" w:cstheme="minorHAnsi"/>
            </w:rPr>
          </w:pPr>
          <w:r>
            <w:rPr>
              <w:rFonts w:asciiTheme="minorHAnsi" w:hAnsiTheme="minorHAnsi"/>
              <w:sz w:val="22"/>
            </w:rPr>
            <w:t>Annex No. 4 to the Tender Documentation</w:t>
          </w:r>
        </w:p>
      </w:tc>
      <w:tc>
        <w:tcPr>
          <w:tcW w:w="355" w:type="dxa"/>
        </w:tcPr>
        <w:p w14:paraId="0F1D7CA8" w14:textId="77777777" w:rsidR="004952E7" w:rsidRDefault="004952E7" w:rsidP="52D540D3">
          <w:pPr>
            <w:jc w:val="center"/>
          </w:pPr>
        </w:p>
      </w:tc>
      <w:tc>
        <w:tcPr>
          <w:tcW w:w="355" w:type="dxa"/>
        </w:tcPr>
        <w:p w14:paraId="476E2ACC" w14:textId="58D56F59" w:rsidR="004952E7" w:rsidRDefault="004952E7" w:rsidP="52D540D3">
          <w:pPr>
            <w:jc w:val="center"/>
          </w:pPr>
        </w:p>
      </w:tc>
      <w:tc>
        <w:tcPr>
          <w:tcW w:w="3020" w:type="dxa"/>
        </w:tcPr>
        <w:p w14:paraId="29A89890" w14:textId="10B9D26B" w:rsidR="004952E7" w:rsidRDefault="004952E7" w:rsidP="52D540D3">
          <w:pPr>
            <w:ind w:right="-115"/>
            <w:jc w:val="right"/>
          </w:pPr>
        </w:p>
      </w:tc>
    </w:tr>
  </w:tbl>
  <w:p w14:paraId="0B09E754" w14:textId="395C1B00" w:rsidR="52D540D3" w:rsidRDefault="52D540D3" w:rsidP="52D54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052A"/>
    <w:multiLevelType w:val="multilevel"/>
    <w:tmpl w:val="89F86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6421A0"/>
    <w:multiLevelType w:val="multilevel"/>
    <w:tmpl w:val="5A643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7601E1"/>
    <w:multiLevelType w:val="multilevel"/>
    <w:tmpl w:val="794CB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DE5824"/>
    <w:multiLevelType w:val="multilevel"/>
    <w:tmpl w:val="562C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10305A"/>
    <w:multiLevelType w:val="hybridMultilevel"/>
    <w:tmpl w:val="0674CE00"/>
    <w:lvl w:ilvl="0" w:tplc="D0829D3E">
      <w:start w:val="1"/>
      <w:numFmt w:val="upperRoman"/>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7F8F611F"/>
    <w:multiLevelType w:val="hybridMultilevel"/>
    <w:tmpl w:val="FFB6B802"/>
    <w:lvl w:ilvl="0" w:tplc="D0829D3E">
      <w:start w:val="1"/>
      <w:numFmt w:val="upperRoman"/>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16cid:durableId="103772558">
    <w:abstractNumId w:val="2"/>
  </w:num>
  <w:num w:numId="2" w16cid:durableId="1872915495">
    <w:abstractNumId w:val="5"/>
  </w:num>
  <w:num w:numId="3" w16cid:durableId="1658729444">
    <w:abstractNumId w:val="3"/>
  </w:num>
  <w:num w:numId="4" w16cid:durableId="1953053336">
    <w:abstractNumId w:val="0"/>
  </w:num>
  <w:num w:numId="5" w16cid:durableId="699553191">
    <w:abstractNumId w:val="1"/>
  </w:num>
  <w:num w:numId="6" w16cid:durableId="17540104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DE"/>
    <w:rsid w:val="000140B5"/>
    <w:rsid w:val="000151D5"/>
    <w:rsid w:val="000206CC"/>
    <w:rsid w:val="00036D6A"/>
    <w:rsid w:val="000373CC"/>
    <w:rsid w:val="00045444"/>
    <w:rsid w:val="00045B14"/>
    <w:rsid w:val="000467F4"/>
    <w:rsid w:val="00047ED4"/>
    <w:rsid w:val="00053105"/>
    <w:rsid w:val="00064B25"/>
    <w:rsid w:val="00067D28"/>
    <w:rsid w:val="00076AAD"/>
    <w:rsid w:val="00082C52"/>
    <w:rsid w:val="00090EC8"/>
    <w:rsid w:val="00092DAA"/>
    <w:rsid w:val="00094C33"/>
    <w:rsid w:val="000A2AA5"/>
    <w:rsid w:val="000A412C"/>
    <w:rsid w:val="000A4DDE"/>
    <w:rsid w:val="000B10B2"/>
    <w:rsid w:val="000B558E"/>
    <w:rsid w:val="000B5E4A"/>
    <w:rsid w:val="000C09E6"/>
    <w:rsid w:val="000C4521"/>
    <w:rsid w:val="000C7A55"/>
    <w:rsid w:val="000D492C"/>
    <w:rsid w:val="000D5071"/>
    <w:rsid w:val="000E6C44"/>
    <w:rsid w:val="00101554"/>
    <w:rsid w:val="00102278"/>
    <w:rsid w:val="00111048"/>
    <w:rsid w:val="00111D33"/>
    <w:rsid w:val="00112CA7"/>
    <w:rsid w:val="001274BF"/>
    <w:rsid w:val="00133515"/>
    <w:rsid w:val="001362AB"/>
    <w:rsid w:val="00140BA8"/>
    <w:rsid w:val="00141683"/>
    <w:rsid w:val="00141A6B"/>
    <w:rsid w:val="00145E91"/>
    <w:rsid w:val="00151DA9"/>
    <w:rsid w:val="001602E0"/>
    <w:rsid w:val="00160BA5"/>
    <w:rsid w:val="001619DA"/>
    <w:rsid w:val="0016284A"/>
    <w:rsid w:val="001704F4"/>
    <w:rsid w:val="00170C3F"/>
    <w:rsid w:val="001724B3"/>
    <w:rsid w:val="00174ABC"/>
    <w:rsid w:val="00186789"/>
    <w:rsid w:val="00187DBC"/>
    <w:rsid w:val="001A1A70"/>
    <w:rsid w:val="001A612B"/>
    <w:rsid w:val="001B1365"/>
    <w:rsid w:val="001D0B2F"/>
    <w:rsid w:val="001D16CF"/>
    <w:rsid w:val="001D7610"/>
    <w:rsid w:val="001E425D"/>
    <w:rsid w:val="001F0B17"/>
    <w:rsid w:val="002031B4"/>
    <w:rsid w:val="00211F78"/>
    <w:rsid w:val="00217FE7"/>
    <w:rsid w:val="00223559"/>
    <w:rsid w:val="002303B5"/>
    <w:rsid w:val="00230BDB"/>
    <w:rsid w:val="002321D8"/>
    <w:rsid w:val="00240265"/>
    <w:rsid w:val="002428FA"/>
    <w:rsid w:val="002462F3"/>
    <w:rsid w:val="00251F9D"/>
    <w:rsid w:val="00252AF7"/>
    <w:rsid w:val="0025743B"/>
    <w:rsid w:val="002668C5"/>
    <w:rsid w:val="002676CB"/>
    <w:rsid w:val="00274C67"/>
    <w:rsid w:val="0027566A"/>
    <w:rsid w:val="00277510"/>
    <w:rsid w:val="0028042A"/>
    <w:rsid w:val="0028251B"/>
    <w:rsid w:val="0028515B"/>
    <w:rsid w:val="002A622F"/>
    <w:rsid w:val="002A64F0"/>
    <w:rsid w:val="002B2610"/>
    <w:rsid w:val="002B2892"/>
    <w:rsid w:val="002C1318"/>
    <w:rsid w:val="002C2BA7"/>
    <w:rsid w:val="002C6624"/>
    <w:rsid w:val="002D3904"/>
    <w:rsid w:val="002D4865"/>
    <w:rsid w:val="002D5D05"/>
    <w:rsid w:val="002D745A"/>
    <w:rsid w:val="002E776A"/>
    <w:rsid w:val="00300E30"/>
    <w:rsid w:val="0030380A"/>
    <w:rsid w:val="003330E2"/>
    <w:rsid w:val="003426D7"/>
    <w:rsid w:val="00353D20"/>
    <w:rsid w:val="0035551A"/>
    <w:rsid w:val="00356BB2"/>
    <w:rsid w:val="003613AC"/>
    <w:rsid w:val="00361680"/>
    <w:rsid w:val="00395828"/>
    <w:rsid w:val="003B0036"/>
    <w:rsid w:val="003B41DF"/>
    <w:rsid w:val="003B62D0"/>
    <w:rsid w:val="003C3E08"/>
    <w:rsid w:val="003C45FC"/>
    <w:rsid w:val="003C4867"/>
    <w:rsid w:val="003C5638"/>
    <w:rsid w:val="003D07C8"/>
    <w:rsid w:val="003D78A7"/>
    <w:rsid w:val="003E2622"/>
    <w:rsid w:val="003E326B"/>
    <w:rsid w:val="003E7866"/>
    <w:rsid w:val="003F1183"/>
    <w:rsid w:val="00405435"/>
    <w:rsid w:val="004151EF"/>
    <w:rsid w:val="00415342"/>
    <w:rsid w:val="00421CAC"/>
    <w:rsid w:val="00431E7A"/>
    <w:rsid w:val="004459E0"/>
    <w:rsid w:val="0046310C"/>
    <w:rsid w:val="00467AF5"/>
    <w:rsid w:val="00473E60"/>
    <w:rsid w:val="00474BBF"/>
    <w:rsid w:val="004774A5"/>
    <w:rsid w:val="00490C1F"/>
    <w:rsid w:val="00493D03"/>
    <w:rsid w:val="004952E7"/>
    <w:rsid w:val="00495B7D"/>
    <w:rsid w:val="004A5365"/>
    <w:rsid w:val="004B34FA"/>
    <w:rsid w:val="004B5E7F"/>
    <w:rsid w:val="004B60E0"/>
    <w:rsid w:val="004D1D0A"/>
    <w:rsid w:val="004E131B"/>
    <w:rsid w:val="004E5F35"/>
    <w:rsid w:val="004E6A79"/>
    <w:rsid w:val="004F4B19"/>
    <w:rsid w:val="004F544C"/>
    <w:rsid w:val="005009AA"/>
    <w:rsid w:val="00501DE4"/>
    <w:rsid w:val="0052120D"/>
    <w:rsid w:val="00521816"/>
    <w:rsid w:val="00527524"/>
    <w:rsid w:val="005366F5"/>
    <w:rsid w:val="0054641D"/>
    <w:rsid w:val="005479CB"/>
    <w:rsid w:val="00554945"/>
    <w:rsid w:val="00555273"/>
    <w:rsid w:val="00563109"/>
    <w:rsid w:val="00565DDA"/>
    <w:rsid w:val="00573BBC"/>
    <w:rsid w:val="00575801"/>
    <w:rsid w:val="00582D03"/>
    <w:rsid w:val="00585FEF"/>
    <w:rsid w:val="00587C9F"/>
    <w:rsid w:val="0059281B"/>
    <w:rsid w:val="00592F33"/>
    <w:rsid w:val="005B7B49"/>
    <w:rsid w:val="005D204E"/>
    <w:rsid w:val="005E0909"/>
    <w:rsid w:val="005E4B8F"/>
    <w:rsid w:val="005E7049"/>
    <w:rsid w:val="005F0FDB"/>
    <w:rsid w:val="005F3C24"/>
    <w:rsid w:val="005F4CFA"/>
    <w:rsid w:val="005F5A94"/>
    <w:rsid w:val="005F6F6B"/>
    <w:rsid w:val="00600854"/>
    <w:rsid w:val="00601600"/>
    <w:rsid w:val="00603EA8"/>
    <w:rsid w:val="006066CC"/>
    <w:rsid w:val="006120AD"/>
    <w:rsid w:val="00634B1C"/>
    <w:rsid w:val="006375ED"/>
    <w:rsid w:val="00637D1C"/>
    <w:rsid w:val="00654EED"/>
    <w:rsid w:val="00661E1E"/>
    <w:rsid w:val="0066219C"/>
    <w:rsid w:val="00667435"/>
    <w:rsid w:val="0068657E"/>
    <w:rsid w:val="00691E84"/>
    <w:rsid w:val="00692114"/>
    <w:rsid w:val="00693AF0"/>
    <w:rsid w:val="00697D8A"/>
    <w:rsid w:val="006A1BA4"/>
    <w:rsid w:val="006B0AE9"/>
    <w:rsid w:val="006C28D8"/>
    <w:rsid w:val="006C45E5"/>
    <w:rsid w:val="006C5818"/>
    <w:rsid w:val="006D33A7"/>
    <w:rsid w:val="006D6A81"/>
    <w:rsid w:val="006E58C3"/>
    <w:rsid w:val="006E5E60"/>
    <w:rsid w:val="006E5F8D"/>
    <w:rsid w:val="0070375B"/>
    <w:rsid w:val="00705909"/>
    <w:rsid w:val="00710254"/>
    <w:rsid w:val="007115DC"/>
    <w:rsid w:val="00712F96"/>
    <w:rsid w:val="0071687C"/>
    <w:rsid w:val="00722AC2"/>
    <w:rsid w:val="007330C7"/>
    <w:rsid w:val="00735B39"/>
    <w:rsid w:val="00743BD4"/>
    <w:rsid w:val="00753197"/>
    <w:rsid w:val="00767377"/>
    <w:rsid w:val="007704D2"/>
    <w:rsid w:val="00772A0E"/>
    <w:rsid w:val="007750F0"/>
    <w:rsid w:val="00775D7D"/>
    <w:rsid w:val="007769A1"/>
    <w:rsid w:val="007771AE"/>
    <w:rsid w:val="00783034"/>
    <w:rsid w:val="007861F0"/>
    <w:rsid w:val="0079361F"/>
    <w:rsid w:val="007A157B"/>
    <w:rsid w:val="007B1EA4"/>
    <w:rsid w:val="007B56AC"/>
    <w:rsid w:val="007B635B"/>
    <w:rsid w:val="007C1ED0"/>
    <w:rsid w:val="007C4F69"/>
    <w:rsid w:val="007C673F"/>
    <w:rsid w:val="007D76D7"/>
    <w:rsid w:val="007E067F"/>
    <w:rsid w:val="007E0E6B"/>
    <w:rsid w:val="007E1956"/>
    <w:rsid w:val="007E40D4"/>
    <w:rsid w:val="007E457E"/>
    <w:rsid w:val="007F0CE5"/>
    <w:rsid w:val="0081027F"/>
    <w:rsid w:val="00811DDB"/>
    <w:rsid w:val="00812B84"/>
    <w:rsid w:val="00814094"/>
    <w:rsid w:val="00817D9F"/>
    <w:rsid w:val="008222E4"/>
    <w:rsid w:val="00826704"/>
    <w:rsid w:val="00834780"/>
    <w:rsid w:val="00834EEC"/>
    <w:rsid w:val="008432A5"/>
    <w:rsid w:val="00844F45"/>
    <w:rsid w:val="00851CF8"/>
    <w:rsid w:val="00856054"/>
    <w:rsid w:val="008679F3"/>
    <w:rsid w:val="00867BAA"/>
    <w:rsid w:val="00876A54"/>
    <w:rsid w:val="0088449E"/>
    <w:rsid w:val="00884C1C"/>
    <w:rsid w:val="00886D80"/>
    <w:rsid w:val="00896319"/>
    <w:rsid w:val="0089683B"/>
    <w:rsid w:val="00897E1C"/>
    <w:rsid w:val="008A1A42"/>
    <w:rsid w:val="008A4757"/>
    <w:rsid w:val="008A5AF0"/>
    <w:rsid w:val="008B31EC"/>
    <w:rsid w:val="008D2C36"/>
    <w:rsid w:val="008D3A1B"/>
    <w:rsid w:val="008F641F"/>
    <w:rsid w:val="008F644B"/>
    <w:rsid w:val="008F7EDE"/>
    <w:rsid w:val="009013D7"/>
    <w:rsid w:val="00912980"/>
    <w:rsid w:val="00915B0E"/>
    <w:rsid w:val="009212CC"/>
    <w:rsid w:val="0094258A"/>
    <w:rsid w:val="0094421B"/>
    <w:rsid w:val="00952821"/>
    <w:rsid w:val="00954DD5"/>
    <w:rsid w:val="00957772"/>
    <w:rsid w:val="0096286C"/>
    <w:rsid w:val="0096511D"/>
    <w:rsid w:val="00966AFE"/>
    <w:rsid w:val="00980152"/>
    <w:rsid w:val="009809D7"/>
    <w:rsid w:val="009819CF"/>
    <w:rsid w:val="009827E6"/>
    <w:rsid w:val="009845F7"/>
    <w:rsid w:val="00997086"/>
    <w:rsid w:val="009A1D9B"/>
    <w:rsid w:val="009A3A49"/>
    <w:rsid w:val="009C77A2"/>
    <w:rsid w:val="009D1155"/>
    <w:rsid w:val="009D20BE"/>
    <w:rsid w:val="009E011B"/>
    <w:rsid w:val="009F10FE"/>
    <w:rsid w:val="009F6548"/>
    <w:rsid w:val="00A07039"/>
    <w:rsid w:val="00A270C9"/>
    <w:rsid w:val="00A33ECE"/>
    <w:rsid w:val="00A35546"/>
    <w:rsid w:val="00A4242D"/>
    <w:rsid w:val="00A440EE"/>
    <w:rsid w:val="00A527B0"/>
    <w:rsid w:val="00A6061F"/>
    <w:rsid w:val="00A63559"/>
    <w:rsid w:val="00A66C40"/>
    <w:rsid w:val="00A8466D"/>
    <w:rsid w:val="00A85FCA"/>
    <w:rsid w:val="00A91FD3"/>
    <w:rsid w:val="00A94364"/>
    <w:rsid w:val="00AB0D78"/>
    <w:rsid w:val="00AB2B5E"/>
    <w:rsid w:val="00AB2F2D"/>
    <w:rsid w:val="00AC15B6"/>
    <w:rsid w:val="00AC7220"/>
    <w:rsid w:val="00AD0FEA"/>
    <w:rsid w:val="00AD30F1"/>
    <w:rsid w:val="00AE1B51"/>
    <w:rsid w:val="00AE38DD"/>
    <w:rsid w:val="00AE4823"/>
    <w:rsid w:val="00AE4B31"/>
    <w:rsid w:val="00AF0E32"/>
    <w:rsid w:val="00AF1797"/>
    <w:rsid w:val="00AF206F"/>
    <w:rsid w:val="00AF2DB7"/>
    <w:rsid w:val="00B025DB"/>
    <w:rsid w:val="00B02AB5"/>
    <w:rsid w:val="00B07A5D"/>
    <w:rsid w:val="00B132A6"/>
    <w:rsid w:val="00B13A72"/>
    <w:rsid w:val="00B17703"/>
    <w:rsid w:val="00B20BDB"/>
    <w:rsid w:val="00B24030"/>
    <w:rsid w:val="00B258A6"/>
    <w:rsid w:val="00B357D5"/>
    <w:rsid w:val="00B40DFF"/>
    <w:rsid w:val="00B47924"/>
    <w:rsid w:val="00B5034C"/>
    <w:rsid w:val="00B52AD8"/>
    <w:rsid w:val="00B60F90"/>
    <w:rsid w:val="00BA2E1B"/>
    <w:rsid w:val="00BA6AAC"/>
    <w:rsid w:val="00BB29D0"/>
    <w:rsid w:val="00BB5A75"/>
    <w:rsid w:val="00BB60E2"/>
    <w:rsid w:val="00BB6696"/>
    <w:rsid w:val="00BD1B71"/>
    <w:rsid w:val="00BD2A30"/>
    <w:rsid w:val="00BD520D"/>
    <w:rsid w:val="00BD6A1E"/>
    <w:rsid w:val="00BE2A91"/>
    <w:rsid w:val="00BE346E"/>
    <w:rsid w:val="00C13990"/>
    <w:rsid w:val="00C13E05"/>
    <w:rsid w:val="00C16D76"/>
    <w:rsid w:val="00C243BD"/>
    <w:rsid w:val="00C25C51"/>
    <w:rsid w:val="00C422D7"/>
    <w:rsid w:val="00C44416"/>
    <w:rsid w:val="00C44DBD"/>
    <w:rsid w:val="00C4756B"/>
    <w:rsid w:val="00C565ED"/>
    <w:rsid w:val="00C629EA"/>
    <w:rsid w:val="00C734A5"/>
    <w:rsid w:val="00C82662"/>
    <w:rsid w:val="00C85AFA"/>
    <w:rsid w:val="00C90056"/>
    <w:rsid w:val="00C924A0"/>
    <w:rsid w:val="00CA01AE"/>
    <w:rsid w:val="00CB12B2"/>
    <w:rsid w:val="00CB1835"/>
    <w:rsid w:val="00CC13E2"/>
    <w:rsid w:val="00CC3FC7"/>
    <w:rsid w:val="00D028A2"/>
    <w:rsid w:val="00D10025"/>
    <w:rsid w:val="00D233A9"/>
    <w:rsid w:val="00D36D94"/>
    <w:rsid w:val="00D378DD"/>
    <w:rsid w:val="00D46596"/>
    <w:rsid w:val="00D52FBF"/>
    <w:rsid w:val="00D5515E"/>
    <w:rsid w:val="00D56BC4"/>
    <w:rsid w:val="00D649B6"/>
    <w:rsid w:val="00D85C7E"/>
    <w:rsid w:val="00D87025"/>
    <w:rsid w:val="00DA02FD"/>
    <w:rsid w:val="00DA1EEF"/>
    <w:rsid w:val="00DA5F19"/>
    <w:rsid w:val="00DB5721"/>
    <w:rsid w:val="00DB7542"/>
    <w:rsid w:val="00DC0A42"/>
    <w:rsid w:val="00DC5839"/>
    <w:rsid w:val="00DD297C"/>
    <w:rsid w:val="00DD46B6"/>
    <w:rsid w:val="00DF2CE0"/>
    <w:rsid w:val="00DF5AB8"/>
    <w:rsid w:val="00E00DA6"/>
    <w:rsid w:val="00E02E8D"/>
    <w:rsid w:val="00E05210"/>
    <w:rsid w:val="00E05D9F"/>
    <w:rsid w:val="00E060A1"/>
    <w:rsid w:val="00E1266D"/>
    <w:rsid w:val="00E1347B"/>
    <w:rsid w:val="00E22D25"/>
    <w:rsid w:val="00E24436"/>
    <w:rsid w:val="00E24B75"/>
    <w:rsid w:val="00E34C82"/>
    <w:rsid w:val="00E43359"/>
    <w:rsid w:val="00E46BF2"/>
    <w:rsid w:val="00E50432"/>
    <w:rsid w:val="00E54E68"/>
    <w:rsid w:val="00E579C2"/>
    <w:rsid w:val="00E64863"/>
    <w:rsid w:val="00E71044"/>
    <w:rsid w:val="00E713F5"/>
    <w:rsid w:val="00E72E5D"/>
    <w:rsid w:val="00E748C5"/>
    <w:rsid w:val="00E8008B"/>
    <w:rsid w:val="00E97C36"/>
    <w:rsid w:val="00EA0627"/>
    <w:rsid w:val="00EA079E"/>
    <w:rsid w:val="00EA2F0A"/>
    <w:rsid w:val="00EA49B4"/>
    <w:rsid w:val="00EB20F7"/>
    <w:rsid w:val="00ED3E34"/>
    <w:rsid w:val="00EF0C88"/>
    <w:rsid w:val="00EF230B"/>
    <w:rsid w:val="00EF61B2"/>
    <w:rsid w:val="00EF6EA9"/>
    <w:rsid w:val="00F04D6B"/>
    <w:rsid w:val="00F21E45"/>
    <w:rsid w:val="00F25D0D"/>
    <w:rsid w:val="00F379DB"/>
    <w:rsid w:val="00F43200"/>
    <w:rsid w:val="00F51FD9"/>
    <w:rsid w:val="00F53CC3"/>
    <w:rsid w:val="00F54698"/>
    <w:rsid w:val="00F735C9"/>
    <w:rsid w:val="00F83E34"/>
    <w:rsid w:val="00FA3780"/>
    <w:rsid w:val="00FB0C46"/>
    <w:rsid w:val="00FC5618"/>
    <w:rsid w:val="00FD3494"/>
    <w:rsid w:val="00FE1D26"/>
    <w:rsid w:val="00FF141D"/>
    <w:rsid w:val="00FF7741"/>
    <w:rsid w:val="0162E3AD"/>
    <w:rsid w:val="019585D8"/>
    <w:rsid w:val="02C15DA1"/>
    <w:rsid w:val="0334117E"/>
    <w:rsid w:val="033FFFA7"/>
    <w:rsid w:val="03B5BC7A"/>
    <w:rsid w:val="04B2F13D"/>
    <w:rsid w:val="051B2E85"/>
    <w:rsid w:val="06561D10"/>
    <w:rsid w:val="0720B774"/>
    <w:rsid w:val="072378D4"/>
    <w:rsid w:val="07A28B1B"/>
    <w:rsid w:val="0A226B3C"/>
    <w:rsid w:val="0AE4D941"/>
    <w:rsid w:val="0B99A728"/>
    <w:rsid w:val="0C43E7AF"/>
    <w:rsid w:val="0FBB0932"/>
    <w:rsid w:val="111FAF11"/>
    <w:rsid w:val="114630BF"/>
    <w:rsid w:val="1330632A"/>
    <w:rsid w:val="14BAA16A"/>
    <w:rsid w:val="18874363"/>
    <w:rsid w:val="18C70672"/>
    <w:rsid w:val="193DB81A"/>
    <w:rsid w:val="196BF066"/>
    <w:rsid w:val="19818345"/>
    <w:rsid w:val="1A47FC1C"/>
    <w:rsid w:val="1A517FD0"/>
    <w:rsid w:val="1A9C7C05"/>
    <w:rsid w:val="1B3383C1"/>
    <w:rsid w:val="1B4CF92F"/>
    <w:rsid w:val="1EC0E998"/>
    <w:rsid w:val="1F27B0BB"/>
    <w:rsid w:val="1F47A6AE"/>
    <w:rsid w:val="1F7FF018"/>
    <w:rsid w:val="2108E0DE"/>
    <w:rsid w:val="23EFB597"/>
    <w:rsid w:val="23F2DB2A"/>
    <w:rsid w:val="24D11CD3"/>
    <w:rsid w:val="24F7B4AF"/>
    <w:rsid w:val="25FBC439"/>
    <w:rsid w:val="27867BA9"/>
    <w:rsid w:val="281DEB96"/>
    <w:rsid w:val="2AF6BD27"/>
    <w:rsid w:val="2C62DAE5"/>
    <w:rsid w:val="2E977E59"/>
    <w:rsid w:val="2EBFBE31"/>
    <w:rsid w:val="2EDE5720"/>
    <w:rsid w:val="2FAF9A59"/>
    <w:rsid w:val="2FB4D4EB"/>
    <w:rsid w:val="2FF0D471"/>
    <w:rsid w:val="2FF463BE"/>
    <w:rsid w:val="30887A8E"/>
    <w:rsid w:val="316162ED"/>
    <w:rsid w:val="3397AB4C"/>
    <w:rsid w:val="3421DF2A"/>
    <w:rsid w:val="34EAF5AC"/>
    <w:rsid w:val="34F46CE3"/>
    <w:rsid w:val="356244A3"/>
    <w:rsid w:val="36502AF7"/>
    <w:rsid w:val="37564C39"/>
    <w:rsid w:val="3768B5C8"/>
    <w:rsid w:val="386B4F95"/>
    <w:rsid w:val="395F73D3"/>
    <w:rsid w:val="3A9B36A1"/>
    <w:rsid w:val="3ADDD44E"/>
    <w:rsid w:val="3BFC2E99"/>
    <w:rsid w:val="3C19F740"/>
    <w:rsid w:val="3D4B9EC7"/>
    <w:rsid w:val="3D7414C4"/>
    <w:rsid w:val="3DA97038"/>
    <w:rsid w:val="3DBA0EBC"/>
    <w:rsid w:val="3DE08566"/>
    <w:rsid w:val="40283EF8"/>
    <w:rsid w:val="40C5D488"/>
    <w:rsid w:val="423D942F"/>
    <w:rsid w:val="4292D05B"/>
    <w:rsid w:val="43E5F393"/>
    <w:rsid w:val="449312FB"/>
    <w:rsid w:val="44A63ED1"/>
    <w:rsid w:val="4556D988"/>
    <w:rsid w:val="45DC2D79"/>
    <w:rsid w:val="471ECBEC"/>
    <w:rsid w:val="48749F53"/>
    <w:rsid w:val="48E8B80A"/>
    <w:rsid w:val="4A787AAD"/>
    <w:rsid w:val="4A9F73E0"/>
    <w:rsid w:val="4C947845"/>
    <w:rsid w:val="4D14BB65"/>
    <w:rsid w:val="5032F370"/>
    <w:rsid w:val="50DEE736"/>
    <w:rsid w:val="519DA3F4"/>
    <w:rsid w:val="5243F28A"/>
    <w:rsid w:val="524DA8DE"/>
    <w:rsid w:val="5266A71B"/>
    <w:rsid w:val="52D540D3"/>
    <w:rsid w:val="5459E07D"/>
    <w:rsid w:val="553D94AB"/>
    <w:rsid w:val="5656CD0B"/>
    <w:rsid w:val="56DA81EA"/>
    <w:rsid w:val="57857853"/>
    <w:rsid w:val="5AB219BF"/>
    <w:rsid w:val="5B57562E"/>
    <w:rsid w:val="5B6D8E9D"/>
    <w:rsid w:val="5BFC861B"/>
    <w:rsid w:val="5DA3AEEB"/>
    <w:rsid w:val="5DB296B3"/>
    <w:rsid w:val="61F6CCD2"/>
    <w:rsid w:val="6243D195"/>
    <w:rsid w:val="62812980"/>
    <w:rsid w:val="62AB2886"/>
    <w:rsid w:val="6484A28B"/>
    <w:rsid w:val="66ACD94A"/>
    <w:rsid w:val="66F688CF"/>
    <w:rsid w:val="67FD1F7E"/>
    <w:rsid w:val="6A1DE341"/>
    <w:rsid w:val="6B9C8BE7"/>
    <w:rsid w:val="6CABF5C2"/>
    <w:rsid w:val="6D44CEFF"/>
    <w:rsid w:val="6E1F2052"/>
    <w:rsid w:val="6F6466ED"/>
    <w:rsid w:val="6FF75ED7"/>
    <w:rsid w:val="703AAD76"/>
    <w:rsid w:val="70BB1D7B"/>
    <w:rsid w:val="70D6A05C"/>
    <w:rsid w:val="74B93B3B"/>
    <w:rsid w:val="75CA1334"/>
    <w:rsid w:val="75CA2723"/>
    <w:rsid w:val="75FE7704"/>
    <w:rsid w:val="763CA64E"/>
    <w:rsid w:val="765C3E33"/>
    <w:rsid w:val="766E6817"/>
    <w:rsid w:val="76DAE842"/>
    <w:rsid w:val="770AFF28"/>
    <w:rsid w:val="78ED09EC"/>
    <w:rsid w:val="7A03B534"/>
    <w:rsid w:val="7D412CB8"/>
    <w:rsid w:val="7D4A3F6D"/>
    <w:rsid w:val="7D9C9108"/>
    <w:rsid w:val="7DC051F0"/>
    <w:rsid w:val="7EE8D0CE"/>
    <w:rsid w:val="7F42AFD0"/>
    <w:rsid w:val="7F47AED1"/>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0E103"/>
  <w15:chartTrackingRefBased/>
  <w15:docId w15:val="{ADD5AF16-71F4-4675-B28E-E30F98F6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43BD4"/>
    <w:rPr>
      <w:rFonts w:ascii="Times New Roman" w:eastAsia="Times New Roman" w:hAnsi="Times New Roman" w:cs="Times New Roman"/>
      <w:kern w:val="0"/>
      <w:lang w:eastAsia="sk-SK"/>
      <w14:ligatures w14:val="none"/>
    </w:rPr>
  </w:style>
  <w:style w:type="paragraph" w:styleId="Nadpis1">
    <w:name w:val="heading 1"/>
    <w:basedOn w:val="Normlny"/>
    <w:next w:val="Normlny"/>
    <w:link w:val="Nadpis1Char"/>
    <w:uiPriority w:val="9"/>
    <w:qFormat/>
    <w:rsid w:val="000A4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0A4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0A4DDE"/>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0A4DDE"/>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0A4DDE"/>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0A4DDE"/>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0A4DDE"/>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0A4DDE"/>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0A4DDE"/>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A4DDE"/>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0A4DDE"/>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0A4DDE"/>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0A4DDE"/>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0A4DDE"/>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0A4DDE"/>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0A4DDE"/>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0A4DDE"/>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0A4DDE"/>
    <w:rPr>
      <w:rFonts w:eastAsiaTheme="majorEastAsia" w:cstheme="majorBidi"/>
      <w:color w:val="272727" w:themeColor="text1" w:themeTint="D8"/>
    </w:rPr>
  </w:style>
  <w:style w:type="paragraph" w:styleId="Nzov">
    <w:name w:val="Title"/>
    <w:basedOn w:val="Normlny"/>
    <w:next w:val="Normlny"/>
    <w:link w:val="NzovChar"/>
    <w:uiPriority w:val="10"/>
    <w:qFormat/>
    <w:rsid w:val="000A4DDE"/>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0A4DDE"/>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0A4DDE"/>
    <w:pPr>
      <w:numPr>
        <w:ilvl w:val="1"/>
      </w:numPr>
      <w:spacing w:after="160"/>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0A4DDE"/>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0A4DDE"/>
    <w:pPr>
      <w:spacing w:before="160" w:after="160"/>
      <w:jc w:val="center"/>
    </w:pPr>
    <w:rPr>
      <w:i/>
      <w:iCs/>
      <w:color w:val="404040" w:themeColor="text1" w:themeTint="BF"/>
    </w:rPr>
  </w:style>
  <w:style w:type="character" w:customStyle="1" w:styleId="CitciaChar">
    <w:name w:val="Citácia Char"/>
    <w:basedOn w:val="Predvolenpsmoodseku"/>
    <w:link w:val="Citcia"/>
    <w:uiPriority w:val="29"/>
    <w:rsid w:val="000A4DDE"/>
    <w:rPr>
      <w:i/>
      <w:iCs/>
      <w:color w:val="404040" w:themeColor="text1" w:themeTint="BF"/>
    </w:rPr>
  </w:style>
  <w:style w:type="paragraph" w:styleId="Odsekzoznamu">
    <w:name w:val="List Paragraph"/>
    <w:aliases w:val="body,Odsek zoznamu2"/>
    <w:basedOn w:val="Normlny"/>
    <w:link w:val="OdsekzoznamuChar"/>
    <w:uiPriority w:val="34"/>
    <w:qFormat/>
    <w:rsid w:val="000A4DDE"/>
    <w:pPr>
      <w:ind w:left="720"/>
      <w:contextualSpacing/>
    </w:pPr>
  </w:style>
  <w:style w:type="character" w:styleId="Intenzvnezvraznenie">
    <w:name w:val="Intense Emphasis"/>
    <w:basedOn w:val="Predvolenpsmoodseku"/>
    <w:uiPriority w:val="21"/>
    <w:qFormat/>
    <w:rsid w:val="000A4DDE"/>
    <w:rPr>
      <w:i/>
      <w:iCs/>
      <w:color w:val="2F5496" w:themeColor="accent1" w:themeShade="BF"/>
    </w:rPr>
  </w:style>
  <w:style w:type="paragraph" w:styleId="Zvraznencitcia">
    <w:name w:val="Intense Quote"/>
    <w:basedOn w:val="Normlny"/>
    <w:next w:val="Normlny"/>
    <w:link w:val="ZvraznencitciaChar"/>
    <w:uiPriority w:val="30"/>
    <w:qFormat/>
    <w:rsid w:val="000A4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0A4DDE"/>
    <w:rPr>
      <w:i/>
      <w:iCs/>
      <w:color w:val="2F5496" w:themeColor="accent1" w:themeShade="BF"/>
    </w:rPr>
  </w:style>
  <w:style w:type="character" w:styleId="Zvraznenodkaz">
    <w:name w:val="Intense Reference"/>
    <w:basedOn w:val="Predvolenpsmoodseku"/>
    <w:uiPriority w:val="32"/>
    <w:qFormat/>
    <w:rsid w:val="000A4DDE"/>
    <w:rPr>
      <w:b/>
      <w:bCs/>
      <w:smallCaps/>
      <w:color w:val="2F5496" w:themeColor="accent1" w:themeShade="BF"/>
      <w:spacing w:val="5"/>
    </w:rPr>
  </w:style>
  <w:style w:type="character" w:customStyle="1" w:styleId="OdsekzoznamuChar">
    <w:name w:val="Odsek zoznamu Char"/>
    <w:aliases w:val="body Char,Odsek zoznamu2 Char"/>
    <w:link w:val="Odsekzoznamu"/>
    <w:uiPriority w:val="34"/>
    <w:rsid w:val="00743BD4"/>
  </w:style>
  <w:style w:type="table" w:styleId="Mriekatabuky">
    <w:name w:val="Table Grid"/>
    <w:basedOn w:val="Normlnatabuka"/>
    <w:uiPriority w:val="39"/>
    <w:rsid w:val="00743BD4"/>
    <w:rPr>
      <w:kern w:val="0"/>
      <w:sz w:val="22"/>
      <w:szCs w:val="22"/>
      <w14:ligatures w14:val="none"/>
    </w:rPr>
    <w:tblPr>
      <w:tblCellMar>
        <w:left w:w="0" w:type="dxa"/>
        <w:right w:w="0" w:type="dxa"/>
      </w:tblCellMar>
    </w:tblPr>
  </w:style>
  <w:style w:type="paragraph" w:styleId="Hlavika">
    <w:name w:val="header"/>
    <w:basedOn w:val="Normlny"/>
    <w:link w:val="HlavikaChar"/>
    <w:uiPriority w:val="99"/>
    <w:unhideWhenUsed/>
    <w:rsid w:val="003330E2"/>
    <w:pPr>
      <w:tabs>
        <w:tab w:val="center" w:pos="4536"/>
        <w:tab w:val="right" w:pos="9072"/>
      </w:tabs>
    </w:pPr>
  </w:style>
  <w:style w:type="character" w:customStyle="1" w:styleId="HlavikaChar">
    <w:name w:val="Hlavička Char"/>
    <w:basedOn w:val="Predvolenpsmoodseku"/>
    <w:link w:val="Hlavika"/>
    <w:uiPriority w:val="99"/>
    <w:rsid w:val="003330E2"/>
    <w:rPr>
      <w:rFonts w:ascii="Times New Roman" w:eastAsia="Times New Roman" w:hAnsi="Times New Roman" w:cs="Times New Roman"/>
      <w:kern w:val="0"/>
      <w:lang w:eastAsia="sk-SK"/>
      <w14:ligatures w14:val="none"/>
    </w:rPr>
  </w:style>
  <w:style w:type="paragraph" w:styleId="Pta">
    <w:name w:val="footer"/>
    <w:basedOn w:val="Normlny"/>
    <w:link w:val="PtaChar"/>
    <w:uiPriority w:val="99"/>
    <w:unhideWhenUsed/>
    <w:rsid w:val="003330E2"/>
    <w:pPr>
      <w:tabs>
        <w:tab w:val="center" w:pos="4536"/>
        <w:tab w:val="right" w:pos="9072"/>
      </w:tabs>
    </w:pPr>
  </w:style>
  <w:style w:type="character" w:customStyle="1" w:styleId="PtaChar">
    <w:name w:val="Päta Char"/>
    <w:basedOn w:val="Predvolenpsmoodseku"/>
    <w:link w:val="Pta"/>
    <w:uiPriority w:val="99"/>
    <w:rsid w:val="003330E2"/>
    <w:rPr>
      <w:rFonts w:ascii="Times New Roman" w:eastAsia="Times New Roman" w:hAnsi="Times New Roman" w:cs="Times New Roman"/>
      <w:kern w:val="0"/>
      <w:lang w:eastAsia="sk-SK"/>
      <w14:ligatures w14:val="none"/>
    </w:rPr>
  </w:style>
  <w:style w:type="character" w:styleId="Odkaznakomentr">
    <w:name w:val="annotation reference"/>
    <w:basedOn w:val="Predvolenpsmoodseku"/>
    <w:uiPriority w:val="99"/>
    <w:semiHidden/>
    <w:unhideWhenUsed/>
    <w:rsid w:val="00B17703"/>
    <w:rPr>
      <w:sz w:val="16"/>
      <w:szCs w:val="16"/>
    </w:rPr>
  </w:style>
  <w:style w:type="paragraph" w:styleId="Textkomentra">
    <w:name w:val="annotation text"/>
    <w:basedOn w:val="Normlny"/>
    <w:link w:val="TextkomentraChar"/>
    <w:uiPriority w:val="99"/>
    <w:unhideWhenUsed/>
    <w:rsid w:val="00B17703"/>
    <w:rPr>
      <w:sz w:val="20"/>
      <w:szCs w:val="20"/>
    </w:rPr>
  </w:style>
  <w:style w:type="character" w:customStyle="1" w:styleId="TextkomentraChar">
    <w:name w:val="Text komentára Char"/>
    <w:basedOn w:val="Predvolenpsmoodseku"/>
    <w:link w:val="Textkomentra"/>
    <w:uiPriority w:val="99"/>
    <w:rsid w:val="00B17703"/>
    <w:rPr>
      <w:rFonts w:ascii="Times New Roman" w:eastAsia="Times New Roman" w:hAnsi="Times New Roman"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unhideWhenUsed/>
    <w:rsid w:val="00B17703"/>
    <w:rPr>
      <w:b/>
      <w:bCs/>
    </w:rPr>
  </w:style>
  <w:style w:type="character" w:customStyle="1" w:styleId="PredmetkomentraChar">
    <w:name w:val="Predmet komentára Char"/>
    <w:basedOn w:val="TextkomentraChar"/>
    <w:link w:val="Predmetkomentra"/>
    <w:uiPriority w:val="99"/>
    <w:semiHidden/>
    <w:rsid w:val="00B17703"/>
    <w:rPr>
      <w:rFonts w:ascii="Times New Roman" w:eastAsia="Times New Roman" w:hAnsi="Times New Roman" w:cs="Times New Roman"/>
      <w:b/>
      <w:bCs/>
      <w:kern w:val="0"/>
      <w:sz w:val="20"/>
      <w:szCs w:val="2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937</Words>
  <Characters>4956</Characters>
  <Application>Microsoft Office Word</Application>
  <DocSecurity>0</DocSecurity>
  <Lines>142</Lines>
  <Paragraphs>57</Paragraphs>
  <ScaleCrop>false</ScaleCrop>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Lagová</dc:creator>
  <cp:keywords/>
  <dc:description/>
  <cp:lastModifiedBy>DaPe</cp:lastModifiedBy>
  <cp:revision>155</cp:revision>
  <dcterms:created xsi:type="dcterms:W3CDTF">2025-11-28T17:16:00Z</dcterms:created>
  <dcterms:modified xsi:type="dcterms:W3CDTF">2026-04-21T08:26:00Z</dcterms:modified>
</cp:coreProperties>
</file>